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15093">
      <w:pPr>
        <w:rPr>
          <w:rFonts w:ascii="Times New Roman" w:hAnsi="Times New Roman"/>
          <w:kern w:val="0"/>
        </w:rPr>
      </w:pPr>
    </w:p>
    <w:p w14:paraId="4C75C46A">
      <w:pPr>
        <w:rPr>
          <w:rFonts w:ascii="Times New Roman" w:hAnsi="Times New Roman"/>
          <w:kern w:val="0"/>
        </w:rPr>
      </w:pPr>
    </w:p>
    <w:p w14:paraId="78275F73">
      <w:pPr>
        <w:spacing w:before="7" w:line="110" w:lineRule="exact"/>
        <w:jc w:val="left"/>
        <w:rPr>
          <w:rFonts w:ascii="Times New Roman" w:hAnsi="Times New Roman"/>
          <w:kern w:val="0"/>
        </w:rPr>
      </w:pPr>
    </w:p>
    <w:p w14:paraId="23D6937D">
      <w:pPr>
        <w:spacing w:before="4" w:line="110" w:lineRule="exact"/>
        <w:jc w:val="left"/>
        <w:rPr>
          <w:rFonts w:ascii="Times New Roman" w:hAnsi="Times New Roman"/>
          <w:kern w:val="0"/>
        </w:rPr>
      </w:pPr>
      <w:bookmarkStart w:id="0" w:name="_bookmark10"/>
      <w:bookmarkEnd w:id="0"/>
    </w:p>
    <w:p w14:paraId="7C6385FE">
      <w:pPr>
        <w:spacing w:line="200" w:lineRule="exact"/>
        <w:jc w:val="left"/>
        <w:rPr>
          <w:rFonts w:ascii="Times New Roman" w:hAnsi="Times New Roman"/>
          <w:kern w:val="0"/>
        </w:rPr>
      </w:pPr>
    </w:p>
    <w:p w14:paraId="5B6AFE23">
      <w:pPr>
        <w:spacing w:line="200" w:lineRule="exact"/>
        <w:jc w:val="left"/>
        <w:rPr>
          <w:rFonts w:ascii="Times New Roman" w:hAnsi="Times New Roman"/>
          <w:kern w:val="0"/>
        </w:rPr>
      </w:pPr>
    </w:p>
    <w:p w14:paraId="4C0FBA09">
      <w:pPr>
        <w:spacing w:line="200" w:lineRule="exact"/>
        <w:jc w:val="left"/>
        <w:rPr>
          <w:rFonts w:ascii="Times New Roman" w:hAnsi="Times New Roman"/>
          <w:kern w:val="0"/>
        </w:rPr>
      </w:pPr>
    </w:p>
    <w:p w14:paraId="26341DB6">
      <w:pPr>
        <w:spacing w:line="200" w:lineRule="exact"/>
        <w:jc w:val="left"/>
        <w:rPr>
          <w:rFonts w:ascii="Times New Roman" w:hAnsi="Times New Roman"/>
          <w:kern w:val="0"/>
        </w:rPr>
      </w:pPr>
    </w:p>
    <w:p w14:paraId="62BB077C">
      <w:pPr>
        <w:spacing w:line="200" w:lineRule="exact"/>
        <w:jc w:val="left"/>
        <w:rPr>
          <w:rFonts w:ascii="Times New Roman" w:hAnsi="Times New Roman"/>
          <w:kern w:val="0"/>
        </w:rPr>
      </w:pPr>
    </w:p>
    <w:p w14:paraId="43ED6630">
      <w:pPr>
        <w:spacing w:line="200" w:lineRule="exact"/>
        <w:jc w:val="left"/>
        <w:rPr>
          <w:rFonts w:ascii="Times New Roman" w:hAnsi="Times New Roman"/>
          <w:kern w:val="0"/>
        </w:rPr>
      </w:pPr>
    </w:p>
    <w:p w14:paraId="7FA030CF">
      <w:pPr>
        <w:spacing w:line="200" w:lineRule="exact"/>
        <w:jc w:val="left"/>
        <w:rPr>
          <w:rFonts w:ascii="Times New Roman" w:hAnsi="Times New Roman"/>
          <w:kern w:val="0"/>
        </w:rPr>
      </w:pPr>
    </w:p>
    <w:p w14:paraId="13B2EDC3">
      <w:pPr>
        <w:spacing w:line="200" w:lineRule="exact"/>
        <w:jc w:val="left"/>
        <w:rPr>
          <w:rFonts w:ascii="Times New Roman" w:hAnsi="Times New Roman"/>
          <w:kern w:val="0"/>
        </w:rPr>
      </w:pPr>
    </w:p>
    <w:p w14:paraId="779D2CB4">
      <w:pPr>
        <w:spacing w:line="200" w:lineRule="exact"/>
        <w:jc w:val="left"/>
        <w:rPr>
          <w:rFonts w:ascii="Times New Roman" w:hAnsi="Times New Roman"/>
          <w:kern w:val="0"/>
        </w:rPr>
      </w:pPr>
    </w:p>
    <w:p w14:paraId="22B88163">
      <w:pPr>
        <w:spacing w:line="200" w:lineRule="exact"/>
        <w:jc w:val="left"/>
        <w:rPr>
          <w:rFonts w:ascii="Times New Roman" w:hAnsi="Times New Roman"/>
          <w:kern w:val="0"/>
        </w:rPr>
      </w:pPr>
    </w:p>
    <w:p w14:paraId="6757F6E5">
      <w:pPr>
        <w:spacing w:line="200" w:lineRule="exact"/>
        <w:jc w:val="left"/>
        <w:rPr>
          <w:rFonts w:ascii="Times New Roman" w:hAnsi="Times New Roman"/>
          <w:kern w:val="0"/>
        </w:rPr>
      </w:pPr>
    </w:p>
    <w:p w14:paraId="12DB319F">
      <w:pPr>
        <w:spacing w:line="200" w:lineRule="exact"/>
        <w:jc w:val="left"/>
        <w:rPr>
          <w:rFonts w:ascii="Times New Roman" w:hAnsi="Times New Roman"/>
          <w:kern w:val="0"/>
        </w:rPr>
      </w:pPr>
    </w:p>
    <w:p w14:paraId="626A84A2">
      <w:pPr>
        <w:spacing w:line="200" w:lineRule="exact"/>
        <w:jc w:val="left"/>
        <w:rPr>
          <w:rFonts w:ascii="Times New Roman" w:hAnsi="Times New Roman"/>
          <w:kern w:val="0"/>
        </w:rPr>
      </w:pPr>
    </w:p>
    <w:p w14:paraId="77DEDF70">
      <w:pPr>
        <w:spacing w:line="200" w:lineRule="exact"/>
        <w:jc w:val="left"/>
        <w:rPr>
          <w:rFonts w:ascii="Times New Roman" w:hAnsi="Times New Roman"/>
          <w:kern w:val="0"/>
        </w:rPr>
      </w:pPr>
    </w:p>
    <w:p w14:paraId="2316FA5A">
      <w:pPr>
        <w:spacing w:line="200" w:lineRule="exact"/>
        <w:jc w:val="left"/>
        <w:rPr>
          <w:rFonts w:ascii="Times New Roman" w:hAnsi="Times New Roman"/>
          <w:kern w:val="0"/>
        </w:rPr>
      </w:pPr>
    </w:p>
    <w:p w14:paraId="68A0D788">
      <w:pPr>
        <w:spacing w:line="200" w:lineRule="exact"/>
        <w:jc w:val="left"/>
        <w:rPr>
          <w:rFonts w:ascii="Times New Roman" w:hAnsi="Times New Roman"/>
          <w:kern w:val="0"/>
        </w:rPr>
      </w:pPr>
    </w:p>
    <w:p w14:paraId="2BEAF9C6">
      <w:pPr>
        <w:spacing w:line="200" w:lineRule="exact"/>
        <w:jc w:val="left"/>
        <w:rPr>
          <w:rFonts w:ascii="Times New Roman" w:hAnsi="Times New Roman"/>
          <w:kern w:val="0"/>
        </w:rPr>
      </w:pPr>
    </w:p>
    <w:p w14:paraId="3CC951EF">
      <w:pPr>
        <w:spacing w:line="360" w:lineRule="auto"/>
        <w:jc w:val="center"/>
        <w:rPr>
          <w:rFonts w:ascii="Times New Roman" w:hAnsi="Times New Roman"/>
          <w:kern w:val="0"/>
          <w:sz w:val="44"/>
          <w:szCs w:val="44"/>
        </w:rPr>
      </w:pPr>
      <w:r>
        <w:rPr>
          <w:rFonts w:hint="eastAsia" w:ascii="Times New Roman" w:hAnsi="Times New Roman" w:eastAsia="黑体"/>
          <w:kern w:val="0"/>
          <w:sz w:val="44"/>
          <w:szCs w:val="44"/>
        </w:rPr>
        <w:t>统调上网关口电能表状态</w:t>
      </w:r>
      <w:r>
        <w:rPr>
          <w:rFonts w:hint="eastAsia" w:ascii="Times New Roman" w:hAnsi="Times New Roman" w:eastAsia="黑体"/>
          <w:kern w:val="0"/>
          <w:sz w:val="44"/>
          <w:szCs w:val="44"/>
          <w:lang w:val="en-US" w:eastAsia="zh-CN"/>
        </w:rPr>
        <w:t>检测与更换</w:t>
      </w:r>
      <w:r>
        <w:rPr>
          <w:rFonts w:hint="eastAsia" w:ascii="Times New Roman" w:hAnsi="Times New Roman" w:eastAsia="黑体"/>
          <w:kern w:val="0"/>
          <w:sz w:val="44"/>
          <w:szCs w:val="44"/>
        </w:rPr>
        <w:t>技术规范</w:t>
      </w:r>
    </w:p>
    <w:p w14:paraId="6523A496">
      <w:pPr>
        <w:spacing w:line="200" w:lineRule="exact"/>
        <w:jc w:val="left"/>
        <w:rPr>
          <w:rFonts w:ascii="Times New Roman" w:hAnsi="Times New Roman"/>
          <w:kern w:val="0"/>
        </w:rPr>
      </w:pPr>
    </w:p>
    <w:p w14:paraId="7A7864F2">
      <w:pPr>
        <w:spacing w:line="200" w:lineRule="exact"/>
        <w:jc w:val="left"/>
        <w:rPr>
          <w:rFonts w:ascii="Times New Roman" w:hAnsi="Times New Roman"/>
          <w:kern w:val="0"/>
        </w:rPr>
      </w:pPr>
    </w:p>
    <w:p w14:paraId="79D49410">
      <w:pPr>
        <w:spacing w:before="10" w:line="260" w:lineRule="exact"/>
        <w:jc w:val="left"/>
        <w:rPr>
          <w:rFonts w:ascii="Times New Roman" w:hAnsi="Times New Roman"/>
          <w:kern w:val="0"/>
        </w:rPr>
      </w:pPr>
    </w:p>
    <w:p w14:paraId="2ED0D3FD">
      <w:pPr>
        <w:pStyle w:val="21"/>
        <w:numPr>
          <w:ilvl w:val="0"/>
          <w:numId w:val="0"/>
        </w:numPr>
        <w:spacing w:before="240" w:after="240"/>
        <w:jc w:val="center"/>
        <w:outlineLvl w:val="9"/>
        <w:rPr>
          <w:rFonts w:ascii="Times New Roman" w:cstheme="minorBidi"/>
          <w:sz w:val="32"/>
          <w:szCs w:val="32"/>
        </w:rPr>
      </w:pPr>
      <w:bookmarkStart w:id="1" w:name="_bookmark21"/>
      <w:bookmarkEnd w:id="1"/>
      <w:bookmarkStart w:id="2" w:name="_Toc15021518"/>
      <w:bookmarkStart w:id="3" w:name="_Toc11768222"/>
      <w:bookmarkStart w:id="4" w:name="_Toc13500921"/>
      <w:bookmarkStart w:id="5" w:name="_Toc13818524"/>
      <w:bookmarkStart w:id="6" w:name="_Toc29972047"/>
      <w:bookmarkStart w:id="7" w:name="_Toc151566974"/>
      <w:r>
        <w:rPr>
          <w:rFonts w:ascii="Times New Roman" w:cstheme="minorBidi"/>
          <w:sz w:val="32"/>
          <w:szCs w:val="32"/>
        </w:rPr>
        <w:t>编</w:t>
      </w:r>
      <w:r>
        <w:rPr>
          <w:rFonts w:ascii="Times New Roman" w:cstheme="minorBidi"/>
          <w:sz w:val="32"/>
          <w:szCs w:val="32"/>
        </w:rPr>
        <w:tab/>
      </w:r>
      <w:r>
        <w:rPr>
          <w:rFonts w:ascii="Times New Roman" w:cstheme="minorBidi"/>
          <w:sz w:val="32"/>
          <w:szCs w:val="32"/>
        </w:rPr>
        <w:t>制</w:t>
      </w:r>
      <w:r>
        <w:rPr>
          <w:rFonts w:ascii="Times New Roman" w:cstheme="minorBidi"/>
          <w:sz w:val="32"/>
          <w:szCs w:val="32"/>
        </w:rPr>
        <w:tab/>
      </w:r>
      <w:r>
        <w:rPr>
          <w:rFonts w:ascii="Times New Roman" w:cstheme="minorBidi"/>
          <w:sz w:val="32"/>
          <w:szCs w:val="32"/>
        </w:rPr>
        <w:t>说</w:t>
      </w:r>
      <w:r>
        <w:rPr>
          <w:rFonts w:ascii="Times New Roman" w:cstheme="minorBidi"/>
          <w:sz w:val="32"/>
          <w:szCs w:val="32"/>
        </w:rPr>
        <w:tab/>
      </w:r>
      <w:r>
        <w:rPr>
          <w:rFonts w:ascii="Times New Roman" w:cstheme="minorBidi"/>
          <w:sz w:val="32"/>
          <w:szCs w:val="32"/>
        </w:rPr>
        <w:t>明</w:t>
      </w:r>
      <w:bookmarkEnd w:id="2"/>
      <w:bookmarkEnd w:id="3"/>
      <w:bookmarkEnd w:id="4"/>
      <w:bookmarkEnd w:id="5"/>
      <w:bookmarkEnd w:id="6"/>
      <w:bookmarkEnd w:id="7"/>
    </w:p>
    <w:p w14:paraId="02DA04DA">
      <w:pPr>
        <w:pStyle w:val="17"/>
        <w:spacing w:before="120" w:after="120"/>
        <w:ind w:firstLine="420"/>
        <w:rPr>
          <w:rFonts w:ascii="Times New Roman"/>
        </w:rPr>
      </w:pPr>
    </w:p>
    <w:p w14:paraId="068B4DCA"/>
    <w:p w14:paraId="374FC37C"/>
    <w:p w14:paraId="64CCFA29"/>
    <w:p w14:paraId="47080903"/>
    <w:p w14:paraId="1747A53A"/>
    <w:p w14:paraId="5944B735"/>
    <w:p w14:paraId="4F020DD8"/>
    <w:p w14:paraId="5B30C7C7">
      <w:pPr>
        <w:jc w:val="right"/>
      </w:pPr>
    </w:p>
    <w:p w14:paraId="6425C12A"/>
    <w:p w14:paraId="68B952C5">
      <w:pPr>
        <w:sectPr>
          <w:headerReference r:id="rId7" w:type="first"/>
          <w:headerReference r:id="rId5" w:type="default"/>
          <w:footerReference r:id="rId8" w:type="default"/>
          <w:headerReference r:id="rId6" w:type="even"/>
          <w:pgSz w:w="11907" w:h="16840"/>
          <w:pgMar w:top="1440" w:right="1080" w:bottom="1440" w:left="1080" w:header="0" w:footer="635" w:gutter="0"/>
          <w:pgNumType w:start="1"/>
          <w:cols w:space="720" w:num="1"/>
        </w:sectPr>
      </w:pPr>
    </w:p>
    <w:p w14:paraId="5FDE7E59">
      <w:pPr>
        <w:pStyle w:val="17"/>
        <w:spacing w:before="120" w:after="120"/>
        <w:ind w:firstLine="420"/>
        <w:rPr>
          <w:rFonts w:ascii="Times New Roman"/>
        </w:rPr>
      </w:pPr>
    </w:p>
    <w:sdt>
      <w:sdtPr>
        <w:rPr>
          <w:rFonts w:ascii="Calibri" w:hAnsi="Calibri" w:eastAsia="宋体" w:cs="Times New Roman"/>
          <w:color w:val="auto"/>
          <w:kern w:val="2"/>
          <w:sz w:val="21"/>
          <w:szCs w:val="21"/>
          <w:lang w:val="zh-CN"/>
        </w:rPr>
        <w:id w:val="-1"/>
        <w:docPartObj>
          <w:docPartGallery w:val="Table of Contents"/>
          <w:docPartUnique/>
        </w:docPartObj>
      </w:sdtPr>
      <w:sdtEndPr>
        <w:rPr>
          <w:rFonts w:ascii="Calibri" w:hAnsi="Calibri" w:eastAsia="宋体" w:cs="Times New Roman"/>
          <w:b/>
          <w:bCs/>
          <w:color w:val="auto"/>
          <w:kern w:val="2"/>
          <w:sz w:val="21"/>
          <w:szCs w:val="21"/>
          <w:lang w:val="zh-CN"/>
        </w:rPr>
      </w:sdtEndPr>
      <w:sdtContent>
        <w:p w14:paraId="0D07BD69">
          <w:pPr>
            <w:pStyle w:val="23"/>
            <w:spacing w:line="360" w:lineRule="auto"/>
            <w:jc w:val="center"/>
            <w:rPr>
              <w:rFonts w:ascii="华文中宋" w:hAnsi="华文中宋" w:eastAsia="华文中宋"/>
              <w:color w:val="000000" w:themeColor="text1"/>
              <w:sz w:val="44"/>
              <w:szCs w:val="44"/>
              <w14:textFill>
                <w14:solidFill>
                  <w14:schemeClr w14:val="tx1"/>
                </w14:solidFill>
              </w14:textFill>
            </w:rPr>
          </w:pPr>
          <w:r>
            <w:rPr>
              <w:rFonts w:ascii="华文中宋" w:hAnsi="华文中宋" w:eastAsia="华文中宋"/>
              <w:color w:val="000000" w:themeColor="text1"/>
              <w:sz w:val="44"/>
              <w:szCs w:val="44"/>
              <w:lang w:val="zh-CN"/>
              <w14:textFill>
                <w14:solidFill>
                  <w14:schemeClr w14:val="tx1"/>
                </w14:solidFill>
              </w14:textFill>
            </w:rPr>
            <w:t>目</w:t>
          </w:r>
          <w:r>
            <w:rPr>
              <w:rFonts w:hint="eastAsia" w:ascii="华文中宋" w:hAnsi="华文中宋" w:eastAsia="华文中宋"/>
              <w:color w:val="000000" w:themeColor="text1"/>
              <w:sz w:val="44"/>
              <w:szCs w:val="44"/>
              <w:lang w:val="zh-CN"/>
              <w14:textFill>
                <w14:solidFill>
                  <w14:schemeClr w14:val="tx1"/>
                </w14:solidFill>
              </w14:textFill>
            </w:rPr>
            <w:t xml:space="preserve"> </w:t>
          </w:r>
          <w:r>
            <w:rPr>
              <w:rFonts w:ascii="华文中宋" w:hAnsi="华文中宋" w:eastAsia="华文中宋"/>
              <w:color w:val="000000" w:themeColor="text1"/>
              <w:sz w:val="44"/>
              <w:szCs w:val="44"/>
              <w:lang w:val="zh-CN"/>
              <w14:textFill>
                <w14:solidFill>
                  <w14:schemeClr w14:val="tx1"/>
                </w14:solidFill>
              </w14:textFill>
            </w:rPr>
            <w:t xml:space="preserve"> 录</w:t>
          </w:r>
        </w:p>
        <w:p w14:paraId="670AC4DC">
          <w:pPr>
            <w:pStyle w:val="6"/>
            <w:tabs>
              <w:tab w:val="right" w:leader="dot" w:pos="9747"/>
            </w:tabs>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HYPERLINK \l _Toc27006 </w:instrText>
          </w:r>
          <w:r>
            <w:rPr>
              <w:rFonts w:ascii="Times New Roman" w:hAnsi="Times New Roman"/>
            </w:rPr>
            <w:fldChar w:fldCharType="separate"/>
          </w:r>
          <w:r>
            <w:rPr>
              <w:rFonts w:hint="eastAsia" w:ascii="Times New Roman" w:hAnsi="Times New Roman" w:eastAsia="黑体"/>
              <w:kern w:val="0"/>
            </w:rPr>
            <w:t>1 目的意义</w:t>
          </w:r>
          <w:r>
            <w:tab/>
          </w:r>
          <w:r>
            <w:fldChar w:fldCharType="begin"/>
          </w:r>
          <w:r>
            <w:instrText xml:space="preserve"> PAGEREF _Toc27006 \h </w:instrText>
          </w:r>
          <w:r>
            <w:fldChar w:fldCharType="separate"/>
          </w:r>
          <w:r>
            <w:t>1</w:t>
          </w:r>
          <w:r>
            <w:fldChar w:fldCharType="end"/>
          </w:r>
          <w:r>
            <w:rPr>
              <w:rFonts w:ascii="Times New Roman" w:hAnsi="Times New Roman"/>
            </w:rPr>
            <w:fldChar w:fldCharType="end"/>
          </w:r>
        </w:p>
        <w:p w14:paraId="05F26F6C">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_Toc23216 </w:instrText>
          </w:r>
          <w:r>
            <w:rPr>
              <w:rFonts w:ascii="Times New Roman" w:hAnsi="Times New Roman"/>
              <w:bCs/>
              <w:lang w:val="zh-CN"/>
            </w:rPr>
            <w:fldChar w:fldCharType="separate"/>
          </w:r>
          <w:r>
            <w:rPr>
              <w:rFonts w:hint="eastAsia" w:ascii="Times New Roman" w:hAnsi="Times New Roman" w:eastAsia="黑体"/>
              <w:kern w:val="0"/>
            </w:rPr>
            <w:t>2 任务来源</w:t>
          </w:r>
          <w:r>
            <w:tab/>
          </w:r>
          <w:r>
            <w:fldChar w:fldCharType="begin"/>
          </w:r>
          <w:r>
            <w:instrText xml:space="preserve"> PAGEREF _Toc23216 \h </w:instrText>
          </w:r>
          <w:r>
            <w:fldChar w:fldCharType="separate"/>
          </w:r>
          <w:r>
            <w:t>1</w:t>
          </w:r>
          <w:r>
            <w:fldChar w:fldCharType="end"/>
          </w:r>
          <w:r>
            <w:rPr>
              <w:rFonts w:ascii="Times New Roman" w:hAnsi="Times New Roman"/>
              <w:bCs/>
              <w:lang w:val="zh-CN"/>
            </w:rPr>
            <w:fldChar w:fldCharType="end"/>
          </w:r>
        </w:p>
        <w:p w14:paraId="626EF17B">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_Toc12221 </w:instrText>
          </w:r>
          <w:r>
            <w:rPr>
              <w:rFonts w:ascii="Times New Roman" w:hAnsi="Times New Roman"/>
              <w:bCs/>
              <w:lang w:val="zh-CN"/>
            </w:rPr>
            <w:fldChar w:fldCharType="separate"/>
          </w:r>
          <w:r>
            <w:rPr>
              <w:rFonts w:ascii="Times New Roman" w:hAnsi="Times New Roman" w:eastAsia="黑体"/>
              <w:kern w:val="0"/>
            </w:rPr>
            <w:t>3</w:t>
          </w:r>
          <w:r>
            <w:rPr>
              <w:rFonts w:hint="eastAsia" w:ascii="Times New Roman" w:hAnsi="Times New Roman" w:eastAsia="黑体"/>
              <w:kern w:val="0"/>
            </w:rPr>
            <w:t xml:space="preserve"> 标准编制原则与确定标准主要内容的依据</w:t>
          </w:r>
          <w:r>
            <w:tab/>
          </w:r>
          <w:r>
            <w:fldChar w:fldCharType="begin"/>
          </w:r>
          <w:r>
            <w:instrText xml:space="preserve"> PAGEREF _Toc12221 \h </w:instrText>
          </w:r>
          <w:r>
            <w:fldChar w:fldCharType="separate"/>
          </w:r>
          <w:r>
            <w:t>1</w:t>
          </w:r>
          <w:r>
            <w:fldChar w:fldCharType="end"/>
          </w:r>
          <w:r>
            <w:rPr>
              <w:rFonts w:ascii="Times New Roman" w:hAnsi="Times New Roman"/>
              <w:bCs/>
              <w:lang w:val="zh-CN"/>
            </w:rPr>
            <w:fldChar w:fldCharType="end"/>
          </w:r>
        </w:p>
        <w:p w14:paraId="3082BF48">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_Toc4705 </w:instrText>
          </w:r>
          <w:r>
            <w:rPr>
              <w:rFonts w:ascii="Times New Roman" w:hAnsi="Times New Roman"/>
              <w:bCs/>
              <w:lang w:val="zh-CN"/>
            </w:rPr>
            <w:fldChar w:fldCharType="separate"/>
          </w:r>
          <w:r>
            <w:rPr>
              <w:rFonts w:ascii="Times New Roman" w:hAnsi="Times New Roman" w:eastAsia="黑体"/>
              <w:kern w:val="0"/>
            </w:rPr>
            <w:t>4</w:t>
          </w:r>
          <w:r>
            <w:rPr>
              <w:rFonts w:hint="eastAsia" w:ascii="Times New Roman" w:hAnsi="Times New Roman" w:eastAsia="黑体"/>
              <w:kern w:val="0"/>
            </w:rPr>
            <w:t xml:space="preserve"> 编制过程</w:t>
          </w:r>
          <w:r>
            <w:tab/>
          </w:r>
          <w:r>
            <w:fldChar w:fldCharType="begin"/>
          </w:r>
          <w:r>
            <w:instrText xml:space="preserve"> PAGEREF _Toc4705 \h </w:instrText>
          </w:r>
          <w:r>
            <w:fldChar w:fldCharType="separate"/>
          </w:r>
          <w:r>
            <w:t>2</w:t>
          </w:r>
          <w:r>
            <w:fldChar w:fldCharType="end"/>
          </w:r>
          <w:r>
            <w:rPr>
              <w:rFonts w:ascii="Times New Roman" w:hAnsi="Times New Roman"/>
              <w:bCs/>
              <w:lang w:val="zh-CN"/>
            </w:rPr>
            <w:fldChar w:fldCharType="end"/>
          </w:r>
        </w:p>
        <w:p w14:paraId="631E1175">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_Toc18593 </w:instrText>
          </w:r>
          <w:r>
            <w:rPr>
              <w:rFonts w:ascii="Times New Roman" w:hAnsi="Times New Roman"/>
              <w:bCs/>
              <w:lang w:val="zh-CN"/>
            </w:rPr>
            <w:fldChar w:fldCharType="separate"/>
          </w:r>
          <w:r>
            <w:rPr>
              <w:rFonts w:ascii="Times New Roman" w:hAnsi="Times New Roman" w:eastAsia="黑体"/>
              <w:kern w:val="0"/>
            </w:rPr>
            <w:t>5</w:t>
          </w:r>
          <w:r>
            <w:rPr>
              <w:rFonts w:hint="eastAsia" w:ascii="Times New Roman" w:hAnsi="Times New Roman" w:eastAsia="黑体"/>
              <w:kern w:val="0"/>
            </w:rPr>
            <w:t xml:space="preserve"> 主要内容</w:t>
          </w:r>
          <w:r>
            <w:tab/>
          </w:r>
          <w:r>
            <w:fldChar w:fldCharType="begin"/>
          </w:r>
          <w:r>
            <w:instrText xml:space="preserve"> PAGEREF _Toc18593 \h </w:instrText>
          </w:r>
          <w:r>
            <w:fldChar w:fldCharType="separate"/>
          </w:r>
          <w:r>
            <w:t>2</w:t>
          </w:r>
          <w:r>
            <w:fldChar w:fldCharType="end"/>
          </w:r>
          <w:r>
            <w:rPr>
              <w:rFonts w:ascii="Times New Roman" w:hAnsi="Times New Roman"/>
              <w:bCs/>
              <w:lang w:val="zh-CN"/>
            </w:rPr>
            <w:fldChar w:fldCharType="end"/>
          </w:r>
        </w:p>
        <w:p w14:paraId="76C09EDA">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_Toc1159 </w:instrText>
          </w:r>
          <w:r>
            <w:rPr>
              <w:rFonts w:ascii="Times New Roman" w:hAnsi="Times New Roman"/>
              <w:bCs/>
              <w:lang w:val="zh-CN"/>
            </w:rPr>
            <w:fldChar w:fldCharType="separate"/>
          </w:r>
          <w:r>
            <w:rPr>
              <w:rFonts w:hint="eastAsia" w:ascii="Times New Roman" w:hAnsi="Times New Roman" w:eastAsia="黑体"/>
              <w:kern w:val="0"/>
              <w:lang w:val="en-US" w:eastAsia="zh-CN"/>
            </w:rPr>
            <w:t>6</w:t>
          </w:r>
          <w:r>
            <w:rPr>
              <w:rFonts w:hint="eastAsia" w:ascii="Times New Roman" w:hAnsi="Times New Roman" w:eastAsia="黑体"/>
              <w:kern w:val="0"/>
            </w:rPr>
            <w:t xml:space="preserve"> 重大分歧意见的处理过程和依据</w:t>
          </w:r>
          <w:r>
            <w:tab/>
          </w:r>
          <w:r>
            <w:fldChar w:fldCharType="begin"/>
          </w:r>
          <w:r>
            <w:instrText xml:space="preserve"> PAGEREF _Toc1159 \h </w:instrText>
          </w:r>
          <w:r>
            <w:fldChar w:fldCharType="separate"/>
          </w:r>
          <w:r>
            <w:t>2</w:t>
          </w:r>
          <w:r>
            <w:fldChar w:fldCharType="end"/>
          </w:r>
          <w:r>
            <w:rPr>
              <w:rFonts w:ascii="Times New Roman" w:hAnsi="Times New Roman"/>
              <w:bCs/>
              <w:lang w:val="zh-CN"/>
            </w:rPr>
            <w:fldChar w:fldCharType="end"/>
          </w:r>
        </w:p>
        <w:p w14:paraId="5124308D">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_Toc25686 </w:instrText>
          </w:r>
          <w:r>
            <w:rPr>
              <w:rFonts w:ascii="Times New Roman" w:hAnsi="Times New Roman"/>
              <w:bCs/>
              <w:lang w:val="zh-CN"/>
            </w:rPr>
            <w:fldChar w:fldCharType="separate"/>
          </w:r>
          <w:r>
            <w:rPr>
              <w:rFonts w:hint="eastAsia" w:ascii="Times New Roman" w:hAnsi="Times New Roman" w:eastAsia="黑体"/>
              <w:kern w:val="0"/>
              <w:lang w:val="en-US" w:eastAsia="zh-CN"/>
            </w:rPr>
            <w:t>7</w:t>
          </w:r>
          <w:r>
            <w:rPr>
              <w:rFonts w:hint="eastAsia" w:ascii="Times New Roman" w:hAnsi="Times New Roman" w:eastAsia="黑体"/>
              <w:kern w:val="0"/>
            </w:rPr>
            <w:t xml:space="preserve"> 与现行法律、法规和标准的关系</w:t>
          </w:r>
          <w:r>
            <w:tab/>
          </w:r>
          <w:r>
            <w:fldChar w:fldCharType="begin"/>
          </w:r>
          <w:r>
            <w:instrText xml:space="preserve"> PAGEREF _Toc25686 \h </w:instrText>
          </w:r>
          <w:r>
            <w:fldChar w:fldCharType="separate"/>
          </w:r>
          <w:r>
            <w:t>2</w:t>
          </w:r>
          <w:r>
            <w:fldChar w:fldCharType="end"/>
          </w:r>
          <w:r>
            <w:rPr>
              <w:rFonts w:ascii="Times New Roman" w:hAnsi="Times New Roman"/>
              <w:bCs/>
              <w:lang w:val="zh-CN"/>
            </w:rPr>
            <w:fldChar w:fldCharType="end"/>
          </w:r>
        </w:p>
        <w:p w14:paraId="313A32F9">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_Toc15381 </w:instrText>
          </w:r>
          <w:r>
            <w:rPr>
              <w:rFonts w:ascii="Times New Roman" w:hAnsi="Times New Roman"/>
              <w:bCs/>
              <w:lang w:val="zh-CN"/>
            </w:rPr>
            <w:fldChar w:fldCharType="separate"/>
          </w:r>
          <w:r>
            <w:rPr>
              <w:rFonts w:hint="eastAsia" w:ascii="Times New Roman" w:hAnsi="Times New Roman" w:eastAsia="黑体"/>
              <w:kern w:val="0"/>
              <w:lang w:val="en-US" w:eastAsia="zh-CN"/>
            </w:rPr>
            <w:t>8</w:t>
          </w:r>
          <w:r>
            <w:rPr>
              <w:rFonts w:ascii="Times New Roman" w:hAnsi="Times New Roman" w:eastAsia="黑体"/>
              <w:kern w:val="0"/>
            </w:rPr>
            <w:t xml:space="preserve"> </w:t>
          </w:r>
          <w:r>
            <w:rPr>
              <w:rFonts w:hint="eastAsia" w:ascii="Times New Roman" w:hAnsi="Times New Roman" w:eastAsia="黑体"/>
              <w:kern w:val="0"/>
            </w:rPr>
            <w:t>推广实施建议</w:t>
          </w:r>
          <w:r>
            <w:tab/>
          </w:r>
          <w:r>
            <w:fldChar w:fldCharType="begin"/>
          </w:r>
          <w:r>
            <w:instrText xml:space="preserve"> PAGEREF _Toc15381 \h </w:instrText>
          </w:r>
          <w:r>
            <w:fldChar w:fldCharType="separate"/>
          </w:r>
          <w:r>
            <w:t>3</w:t>
          </w:r>
          <w:r>
            <w:fldChar w:fldCharType="end"/>
          </w:r>
          <w:r>
            <w:rPr>
              <w:rFonts w:ascii="Times New Roman" w:hAnsi="Times New Roman"/>
              <w:bCs/>
              <w:lang w:val="zh-CN"/>
            </w:rPr>
            <w:fldChar w:fldCharType="end"/>
          </w:r>
        </w:p>
        <w:p w14:paraId="68A89A50">
          <w:pPr>
            <w:pStyle w:val="6"/>
            <w:tabs>
              <w:tab w:val="right" w:leader="dot" w:pos="9747"/>
            </w:tabs>
          </w:pPr>
          <w:r>
            <w:rPr>
              <w:rFonts w:ascii="Times New Roman" w:hAnsi="Times New Roman"/>
              <w:bCs/>
              <w:lang w:val="zh-CN"/>
            </w:rPr>
            <w:fldChar w:fldCharType="begin"/>
          </w:r>
          <w:r>
            <w:rPr>
              <w:rFonts w:ascii="Times New Roman" w:hAnsi="Times New Roman"/>
              <w:bCs/>
              <w:lang w:val="zh-CN"/>
            </w:rPr>
            <w:instrText xml:space="preserve"> HYPERLINK \l _Toc31294 </w:instrText>
          </w:r>
          <w:r>
            <w:rPr>
              <w:rFonts w:ascii="Times New Roman" w:hAnsi="Times New Roman"/>
              <w:bCs/>
              <w:lang w:val="zh-CN"/>
            </w:rPr>
            <w:fldChar w:fldCharType="separate"/>
          </w:r>
          <w:r>
            <w:rPr>
              <w:rFonts w:hint="eastAsia" w:ascii="Times New Roman" w:hAnsi="Times New Roman" w:eastAsia="黑体"/>
              <w:kern w:val="0"/>
              <w:lang w:val="en-US" w:eastAsia="zh-CN"/>
            </w:rPr>
            <w:t>9</w:t>
          </w:r>
          <w:r>
            <w:rPr>
              <w:rFonts w:ascii="Times New Roman" w:hAnsi="Times New Roman" w:eastAsia="黑体"/>
              <w:kern w:val="0"/>
            </w:rPr>
            <w:t xml:space="preserve"> </w:t>
          </w:r>
          <w:r>
            <w:rPr>
              <w:rFonts w:hint="eastAsia" w:ascii="Times New Roman" w:hAnsi="Times New Roman" w:eastAsia="黑体"/>
              <w:kern w:val="0"/>
            </w:rPr>
            <w:t>起草单位和起草人员信息及分工</w:t>
          </w:r>
          <w:r>
            <w:tab/>
          </w:r>
          <w:r>
            <w:fldChar w:fldCharType="begin"/>
          </w:r>
          <w:r>
            <w:instrText xml:space="preserve"> PAGEREF _Toc31294 \h </w:instrText>
          </w:r>
          <w:r>
            <w:fldChar w:fldCharType="separate"/>
          </w:r>
          <w:r>
            <w:t>3</w:t>
          </w:r>
          <w:r>
            <w:fldChar w:fldCharType="end"/>
          </w:r>
          <w:r>
            <w:rPr>
              <w:rFonts w:ascii="Times New Roman" w:hAnsi="Times New Roman"/>
              <w:bCs/>
              <w:lang w:val="zh-CN"/>
            </w:rPr>
            <w:fldChar w:fldCharType="end"/>
          </w:r>
        </w:p>
        <w:p w14:paraId="65044C65">
          <w:r>
            <w:rPr>
              <w:rFonts w:ascii="Times New Roman" w:hAnsi="Times New Roman"/>
              <w:bCs/>
              <w:lang w:val="zh-CN"/>
            </w:rPr>
            <w:fldChar w:fldCharType="end"/>
          </w:r>
        </w:p>
      </w:sdtContent>
    </w:sdt>
    <w:p w14:paraId="043B662E">
      <w:pPr>
        <w:jc w:val="right"/>
        <w:rPr>
          <w:rFonts w:ascii="Times New Roman" w:hAnsi="Times New Roman"/>
        </w:rPr>
      </w:pPr>
    </w:p>
    <w:p w14:paraId="647CE958">
      <w:pPr>
        <w:rPr>
          <w:rFonts w:ascii="Times New Roman" w:hAnsi="Times New Roman"/>
        </w:rPr>
      </w:pPr>
    </w:p>
    <w:p w14:paraId="2A362921">
      <w:pPr>
        <w:rPr>
          <w:rFonts w:ascii="Times New Roman" w:hAnsi="Times New Roman"/>
        </w:rPr>
        <w:sectPr>
          <w:footerReference r:id="rId9" w:type="default"/>
          <w:pgSz w:w="11907" w:h="16840"/>
          <w:pgMar w:top="1440" w:right="1080" w:bottom="1440" w:left="1080" w:header="0" w:footer="635" w:gutter="0"/>
          <w:pgNumType w:fmt="upperRoman" w:start="1"/>
          <w:cols w:space="720" w:num="1"/>
        </w:sectPr>
      </w:pPr>
    </w:p>
    <w:p w14:paraId="62D80509">
      <w:pPr>
        <w:spacing w:line="480" w:lineRule="auto"/>
        <w:outlineLvl w:val="0"/>
        <w:rPr>
          <w:rFonts w:ascii="Times New Roman" w:hAnsi="Times New Roman" w:eastAsia="黑体"/>
          <w:kern w:val="0"/>
        </w:rPr>
      </w:pPr>
      <w:bookmarkStart w:id="8" w:name="_bookmark22"/>
      <w:bookmarkEnd w:id="8"/>
      <w:bookmarkStart w:id="9" w:name="_Toc10462821"/>
      <w:bookmarkStart w:id="10" w:name="_Toc497087668"/>
      <w:bookmarkStart w:id="11" w:name="_Toc338340181"/>
      <w:bookmarkStart w:id="12" w:name="_Toc495476948"/>
      <w:bookmarkStart w:id="13" w:name="_Toc27006"/>
      <w:r>
        <w:rPr>
          <w:rFonts w:hint="eastAsia" w:ascii="Times New Roman" w:hAnsi="Times New Roman" w:eastAsia="黑体"/>
          <w:kern w:val="0"/>
        </w:rPr>
        <w:t xml:space="preserve">1 </w:t>
      </w:r>
      <w:bookmarkEnd w:id="9"/>
      <w:bookmarkEnd w:id="10"/>
      <w:bookmarkEnd w:id="11"/>
      <w:bookmarkEnd w:id="12"/>
      <w:r>
        <w:rPr>
          <w:rFonts w:hint="eastAsia" w:ascii="Times New Roman" w:hAnsi="Times New Roman" w:eastAsia="黑体"/>
          <w:kern w:val="0"/>
        </w:rPr>
        <w:t>目的意义</w:t>
      </w:r>
      <w:bookmarkEnd w:id="13"/>
    </w:p>
    <w:p w14:paraId="4FFEAF1A">
      <w:pPr>
        <w:autoSpaceDE w:val="0"/>
        <w:autoSpaceDN w:val="0"/>
        <w:spacing w:line="240" w:lineRule="auto"/>
        <w:ind w:firstLine="420" w:firstLineChars="200"/>
        <w:rPr>
          <w:rFonts w:hint="eastAsia" w:ascii="Times New Roman" w:hAnsi="Times New Roman"/>
          <w:kern w:val="0"/>
        </w:rPr>
      </w:pPr>
      <w:r>
        <w:rPr>
          <w:rFonts w:hint="eastAsia" w:ascii="Times New Roman" w:hAnsi="Times New Roman"/>
          <w:kern w:val="0"/>
        </w:rPr>
        <w:t>截止至202</w:t>
      </w:r>
      <w:r>
        <w:rPr>
          <w:rFonts w:hint="eastAsia" w:ascii="Times New Roman" w:hAnsi="Times New Roman"/>
          <w:kern w:val="0"/>
          <w:lang w:val="en-US" w:eastAsia="zh-CN"/>
        </w:rPr>
        <w:t>3</w:t>
      </w:r>
      <w:r>
        <w:rPr>
          <w:rFonts w:hint="eastAsia" w:ascii="Times New Roman" w:hAnsi="Times New Roman"/>
          <w:kern w:val="0"/>
        </w:rPr>
        <w:t>年</w:t>
      </w:r>
      <w:r>
        <w:rPr>
          <w:rFonts w:hint="eastAsia" w:ascii="Times New Roman" w:hAnsi="Times New Roman"/>
          <w:kern w:val="0"/>
          <w:lang w:val="en-US" w:eastAsia="zh-CN"/>
        </w:rPr>
        <w:t>底</w:t>
      </w:r>
      <w:r>
        <w:rPr>
          <w:rFonts w:hint="eastAsia" w:ascii="Times New Roman" w:hAnsi="Times New Roman"/>
          <w:kern w:val="0"/>
        </w:rPr>
        <w:t>，江苏电网共有统调上网电厂</w:t>
      </w:r>
      <w:r>
        <w:rPr>
          <w:rFonts w:hint="eastAsia" w:ascii="Times New Roman" w:hAnsi="Times New Roman"/>
          <w:kern w:val="0"/>
          <w:lang w:val="en-US" w:eastAsia="zh-CN"/>
        </w:rPr>
        <w:t>35</w:t>
      </w:r>
      <w:r>
        <w:rPr>
          <w:rFonts w:hint="eastAsia" w:ascii="Times New Roman" w:hAnsi="Times New Roman"/>
          <w:kern w:val="0"/>
        </w:rPr>
        <w:t>4座，</w:t>
      </w:r>
      <w:r>
        <w:rPr>
          <w:rFonts w:hint="eastAsia" w:ascii="Times New Roman" w:hAnsi="Times New Roman"/>
          <w:kern w:val="0"/>
          <w:lang w:val="en-US" w:eastAsia="zh-CN"/>
        </w:rPr>
        <w:t>统调</w:t>
      </w:r>
      <w:r>
        <w:rPr>
          <w:rFonts w:hint="eastAsia" w:ascii="Times New Roman" w:hAnsi="Times New Roman"/>
          <w:kern w:val="0"/>
        </w:rPr>
        <w:t>上网关口计量点</w:t>
      </w:r>
      <w:r>
        <w:rPr>
          <w:rFonts w:hint="eastAsia" w:ascii="Times New Roman" w:hAnsi="Times New Roman"/>
          <w:kern w:val="0"/>
          <w:lang w:val="en-US" w:eastAsia="zh-CN"/>
        </w:rPr>
        <w:t>7</w:t>
      </w:r>
      <w:r>
        <w:rPr>
          <w:rFonts w:hint="eastAsia" w:ascii="Times New Roman" w:hAnsi="Times New Roman"/>
          <w:kern w:val="0"/>
        </w:rPr>
        <w:t>98个，按照江苏省地标DB32/991-2007《电能计量装置配置规范》，江苏电网统调电厂关口计量点均配置准确度为0.2S级的主、副电能表。依据DL/448-2016《电能计量装置技术管理规程》电能计量装置分类细则，江苏电网上网关口计量点Ⅰ类电能计量装置4</w:t>
      </w:r>
      <w:r>
        <w:rPr>
          <w:rFonts w:hint="eastAsia" w:ascii="Times New Roman" w:hAnsi="Times New Roman"/>
          <w:kern w:val="0"/>
          <w:lang w:val="en-US" w:eastAsia="zh-CN"/>
        </w:rPr>
        <w:t>95</w:t>
      </w:r>
      <w:r>
        <w:rPr>
          <w:rFonts w:hint="eastAsia" w:ascii="Times New Roman" w:hAnsi="Times New Roman"/>
          <w:kern w:val="0"/>
        </w:rPr>
        <w:t>个，Ⅱ类电能计量装置</w:t>
      </w:r>
      <w:r>
        <w:rPr>
          <w:rFonts w:hint="eastAsia" w:ascii="Times New Roman" w:hAnsi="Times New Roman"/>
          <w:kern w:val="0"/>
          <w:lang w:val="en-US" w:eastAsia="zh-CN"/>
        </w:rPr>
        <w:t>230</w:t>
      </w:r>
      <w:r>
        <w:rPr>
          <w:rFonts w:hint="eastAsia" w:ascii="Times New Roman" w:hAnsi="Times New Roman"/>
          <w:kern w:val="0"/>
        </w:rPr>
        <w:t>个，Ⅲ类电能计量装置73个；国网江苏营销服务中心定期对运行中的电能计量装置进行电能表现场周期检验，Ⅰ类电能计量装置每6个月现场检验一次，Ⅱ类电能计量装置每12个月现场检验一次，Ⅲ类电能计量装置每24个月现场检验一次。根据现场检验数据统计分析，江苏电网统调上网关口电能表现场检验误差均小于0.1%，电能计量装置运行状况良好，关口电能表误差特性</w:t>
      </w:r>
      <w:r>
        <w:rPr>
          <w:rFonts w:hint="eastAsia" w:ascii="Times New Roman" w:hAnsi="Times New Roman"/>
          <w:kern w:val="0"/>
          <w:lang w:val="en-US" w:eastAsia="zh-CN"/>
        </w:rPr>
        <w:t>较好</w:t>
      </w:r>
      <w:r>
        <w:rPr>
          <w:rFonts w:hint="eastAsia" w:ascii="Times New Roman" w:hAnsi="Times New Roman"/>
          <w:kern w:val="0"/>
        </w:rPr>
        <w:t>，具备状态检测及更换的条件。</w:t>
      </w:r>
    </w:p>
    <w:p w14:paraId="27FEED9C">
      <w:pPr>
        <w:autoSpaceDE w:val="0"/>
        <w:autoSpaceDN w:val="0"/>
        <w:spacing w:line="240" w:lineRule="auto"/>
        <w:ind w:firstLine="420" w:firstLineChars="200"/>
        <w:rPr>
          <w:rFonts w:hint="default" w:ascii="Times New Roman" w:hAnsi="Times New Roman" w:eastAsia="宋体"/>
          <w:kern w:val="0"/>
          <w:lang w:val="en-US" w:eastAsia="zh-CN"/>
        </w:rPr>
      </w:pPr>
      <w:r>
        <w:rPr>
          <w:rFonts w:hint="eastAsia" w:ascii="Times New Roman" w:hAnsi="Times New Roman"/>
          <w:kern w:val="0"/>
        </w:rPr>
        <w:t>本文件编制目的：积极为电厂提供客观准确的关口表计量性能评价指导，</w:t>
      </w:r>
      <w:r>
        <w:rPr>
          <w:rFonts w:hint="eastAsia" w:ascii="Times New Roman" w:hAnsi="Times New Roman"/>
          <w:kern w:val="0"/>
          <w:lang w:val="en-US" w:eastAsia="zh-CN"/>
        </w:rPr>
        <w:t>推动关口电能表远程误差诊断技术和监督管理模式的数字化转型，</w:t>
      </w:r>
      <w:r>
        <w:rPr>
          <w:rFonts w:hint="eastAsia" w:ascii="Times New Roman" w:hAnsi="Times New Roman"/>
          <w:kern w:val="0"/>
        </w:rPr>
        <w:t>进一步保障厂网电能贸易结算公平公正及电网健康、经济运行。</w:t>
      </w:r>
    </w:p>
    <w:p w14:paraId="7E3BA699">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本文件编制意义：全面推进</w:t>
      </w:r>
      <w:r>
        <w:rPr>
          <w:rFonts w:hint="eastAsia" w:ascii="Times New Roman" w:hAnsi="Times New Roman"/>
          <w:kern w:val="0"/>
          <w:lang w:val="en-US" w:eastAsia="zh-CN"/>
        </w:rPr>
        <w:t>厂网贸易结算</w:t>
      </w:r>
      <w:r>
        <w:rPr>
          <w:rFonts w:hint="eastAsia" w:ascii="Times New Roman" w:hAnsi="Times New Roman"/>
          <w:kern w:val="0"/>
        </w:rPr>
        <w:t>关口电能表状态</w:t>
      </w:r>
      <w:r>
        <w:rPr>
          <w:rFonts w:hint="eastAsia" w:ascii="Times New Roman" w:hAnsi="Times New Roman"/>
          <w:kern w:val="0"/>
          <w:lang w:val="en-US" w:eastAsia="zh-CN"/>
        </w:rPr>
        <w:t>全量评估</w:t>
      </w:r>
      <w:r>
        <w:rPr>
          <w:rFonts w:hint="eastAsia" w:ascii="Times New Roman" w:hAnsi="Times New Roman"/>
          <w:kern w:val="0"/>
        </w:rPr>
        <w:t>，助力关口</w:t>
      </w:r>
      <w:r>
        <w:rPr>
          <w:rFonts w:hint="eastAsia" w:ascii="Times New Roman" w:hAnsi="Times New Roman"/>
          <w:kern w:val="0"/>
          <w:lang w:val="en-US" w:eastAsia="zh-CN"/>
        </w:rPr>
        <w:t>电能</w:t>
      </w:r>
      <w:r>
        <w:rPr>
          <w:rFonts w:hint="eastAsia" w:ascii="Times New Roman" w:hAnsi="Times New Roman"/>
          <w:kern w:val="0"/>
        </w:rPr>
        <w:t>计量装置运维管理模式创新转型。</w:t>
      </w:r>
    </w:p>
    <w:p w14:paraId="038B615E">
      <w:pPr>
        <w:spacing w:line="480" w:lineRule="auto"/>
        <w:outlineLvl w:val="0"/>
        <w:rPr>
          <w:rFonts w:ascii="Times New Roman" w:hAnsi="Times New Roman" w:eastAsia="黑体"/>
          <w:kern w:val="0"/>
        </w:rPr>
      </w:pPr>
      <w:bookmarkStart w:id="14" w:name="_Toc23216"/>
      <w:r>
        <w:rPr>
          <w:rFonts w:hint="eastAsia" w:ascii="Times New Roman" w:hAnsi="Times New Roman" w:eastAsia="黑体"/>
          <w:kern w:val="0"/>
        </w:rPr>
        <w:t>2 任务来源</w:t>
      </w:r>
      <w:bookmarkEnd w:id="14"/>
    </w:p>
    <w:p w14:paraId="18031E62">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国家市场监管总局在《2021年全国计量工作要点》中提出，“研究通过数据在线监测和监督抽查检定相结合等方式，改革创新国家强制管理计量器具监管方式”。</w:t>
      </w:r>
      <w:r>
        <w:rPr>
          <w:rFonts w:hint="eastAsia" w:ascii="Times New Roman" w:hAnsi="Times New Roman"/>
          <w:kern w:val="0"/>
          <w:lang w:val="en-US" w:eastAsia="zh-CN"/>
        </w:rPr>
        <w:t>为进一步贯彻国家相关文件精神，落实计量重点工作部署，国网江苏营销服务中心结合江苏电网电能量计量系统、用电信息采集等信息系统大数据，通过计量采集数据深化分析远程评估关口表计量状态及运行状态，并形成相关典型经验及成果案例，</w:t>
      </w:r>
      <w:r>
        <w:rPr>
          <w:rFonts w:hint="eastAsia" w:ascii="Times New Roman" w:hAnsi="Times New Roman"/>
          <w:kern w:val="0"/>
        </w:rPr>
        <w:t>开展本文件编制工作。2</w:t>
      </w:r>
      <w:r>
        <w:rPr>
          <w:rFonts w:ascii="Times New Roman" w:hAnsi="Times New Roman"/>
          <w:kern w:val="0"/>
        </w:rPr>
        <w:t>023</w:t>
      </w:r>
      <w:r>
        <w:rPr>
          <w:rFonts w:hint="eastAsia" w:ascii="Times New Roman" w:hAnsi="Times New Roman"/>
          <w:kern w:val="0"/>
        </w:rPr>
        <w:t>年8月4日，江苏省市场监督管理局下发《省市场监管局关于下达202</w:t>
      </w:r>
      <w:r>
        <w:rPr>
          <w:rFonts w:ascii="Times New Roman" w:hAnsi="Times New Roman"/>
          <w:kern w:val="0"/>
        </w:rPr>
        <w:t>3</w:t>
      </w:r>
      <w:r>
        <w:rPr>
          <w:rFonts w:hint="eastAsia" w:ascii="Times New Roman" w:hAnsi="Times New Roman"/>
          <w:kern w:val="0"/>
        </w:rPr>
        <w:t>年度江苏省地方标准项目计划的通知》（苏市监标</w:t>
      </w:r>
      <w:r>
        <w:rPr>
          <w:rFonts w:ascii="Times New Roman" w:hAnsi="Times New Roman"/>
          <w:kern w:val="0"/>
        </w:rPr>
        <w:t>〔2023〕173</w:t>
      </w:r>
      <w:r>
        <w:rPr>
          <w:rFonts w:hint="eastAsia" w:ascii="Times New Roman" w:hAnsi="Times New Roman"/>
          <w:kern w:val="0"/>
        </w:rPr>
        <w:t>号），本项目</w:t>
      </w:r>
      <w:r>
        <w:rPr>
          <w:rFonts w:hint="eastAsia" w:ascii="Times New Roman" w:hAnsi="Times New Roman"/>
          <w:kern w:val="0"/>
          <w:lang w:eastAsia="zh-CN"/>
        </w:rPr>
        <w:t>《</w:t>
      </w:r>
      <w:r>
        <w:rPr>
          <w:rFonts w:hint="eastAsia"/>
        </w:rPr>
        <w:t>统调上网关口电能表状态</w:t>
      </w:r>
      <w:r>
        <w:rPr>
          <w:rFonts w:hint="eastAsia"/>
          <w:lang w:eastAsia="zh-CN"/>
        </w:rPr>
        <w:t>检测与更换技术规范</w:t>
      </w:r>
      <w:r>
        <w:rPr>
          <w:rFonts w:hint="eastAsia" w:ascii="Times New Roman" w:hAnsi="Times New Roman"/>
          <w:kern w:val="0"/>
          <w:lang w:eastAsia="zh-CN"/>
        </w:rPr>
        <w:t>》</w:t>
      </w:r>
      <w:r>
        <w:rPr>
          <w:rFonts w:hint="eastAsia" w:ascii="Times New Roman" w:hAnsi="Times New Roman"/>
          <w:kern w:val="0"/>
        </w:rPr>
        <w:t>获批正式立项。文件编制组经广泛调查研究，认真总结实践经验和研究成果，参考有关国际和国内先进标准，结合江苏省区域特点，在广泛征求意见的基础上编制完成本文件。</w:t>
      </w:r>
    </w:p>
    <w:p w14:paraId="1806D3C3">
      <w:pPr>
        <w:autoSpaceDE w:val="0"/>
        <w:autoSpaceDN w:val="0"/>
        <w:spacing w:line="240" w:lineRule="auto"/>
        <w:ind w:firstLine="420" w:firstLineChars="200"/>
        <w:rPr>
          <w:rFonts w:hint="eastAsia" w:ascii="Times New Roman" w:hAnsi="Times New Roman"/>
          <w:kern w:val="0"/>
          <w:lang w:val="en-US" w:eastAsia="zh-CN"/>
        </w:rPr>
      </w:pPr>
      <w:r>
        <w:rPr>
          <w:rFonts w:hint="eastAsia" w:ascii="Times New Roman" w:hAnsi="Times New Roman"/>
          <w:kern w:val="0"/>
          <w:lang w:val="en-US" w:eastAsia="zh-CN"/>
        </w:rPr>
        <w:t>本文件牵头起草单位为国网江苏省电力有限公司营销服务中心，具体由南京市计量监督检测院、国网江苏省电</w:t>
      </w:r>
      <w:r>
        <w:rPr>
          <w:rFonts w:hint="default" w:ascii="Times New Roman" w:hAnsi="Times New Roman"/>
          <w:kern w:val="0"/>
          <w:lang w:val="en-US" w:eastAsia="zh-CN"/>
        </w:rPr>
        <w:t>力有限公司</w:t>
      </w:r>
      <w:r>
        <w:rPr>
          <w:rFonts w:hint="eastAsia" w:ascii="Times New Roman" w:hAnsi="Times New Roman"/>
          <w:kern w:val="0"/>
          <w:lang w:val="en-US" w:eastAsia="zh-CN"/>
        </w:rPr>
        <w:t>、宁波三星医疗电气股份有限公司、江苏方天电力技术有限公司、</w:t>
      </w:r>
      <w:r>
        <w:rPr>
          <w:rFonts w:hint="default" w:ascii="Times New Roman" w:hAnsi="Times New Roman"/>
          <w:kern w:val="0"/>
          <w:lang w:val="en-US" w:eastAsia="zh-CN"/>
        </w:rPr>
        <w:t>国网江苏省电力有限公司</w:t>
      </w:r>
      <w:r>
        <w:rPr>
          <w:rFonts w:hint="eastAsia" w:ascii="Times New Roman" w:hAnsi="Times New Roman"/>
          <w:kern w:val="0"/>
          <w:lang w:val="en-US" w:eastAsia="zh-CN"/>
        </w:rPr>
        <w:t>常州</w:t>
      </w:r>
      <w:r>
        <w:rPr>
          <w:rFonts w:hint="default" w:ascii="Times New Roman" w:hAnsi="Times New Roman"/>
          <w:kern w:val="0"/>
          <w:lang w:val="en-US" w:eastAsia="zh-CN"/>
        </w:rPr>
        <w:t>供电分公司</w:t>
      </w:r>
      <w:r>
        <w:rPr>
          <w:rFonts w:hint="eastAsia" w:ascii="Times New Roman" w:hAnsi="Times New Roman"/>
          <w:kern w:val="0"/>
          <w:lang w:val="en-US" w:eastAsia="zh-CN"/>
        </w:rPr>
        <w:t>、</w:t>
      </w:r>
      <w:r>
        <w:rPr>
          <w:rFonts w:hint="default" w:ascii="Times New Roman" w:hAnsi="Times New Roman"/>
          <w:kern w:val="0"/>
          <w:lang w:val="en-US" w:eastAsia="zh-CN"/>
        </w:rPr>
        <w:t>国网江苏省电力有限公司</w:t>
      </w:r>
      <w:r>
        <w:rPr>
          <w:rFonts w:hint="eastAsia" w:ascii="Times New Roman" w:hAnsi="Times New Roman"/>
          <w:kern w:val="0"/>
          <w:lang w:val="en-US" w:eastAsia="zh-CN"/>
        </w:rPr>
        <w:t>无锡</w:t>
      </w:r>
      <w:r>
        <w:rPr>
          <w:rFonts w:hint="default" w:ascii="Times New Roman" w:hAnsi="Times New Roman"/>
          <w:kern w:val="0"/>
          <w:lang w:val="en-US" w:eastAsia="zh-CN"/>
        </w:rPr>
        <w:t>供电分公司</w:t>
      </w:r>
      <w:r>
        <w:rPr>
          <w:rFonts w:hint="eastAsia" w:ascii="Times New Roman" w:hAnsi="Times New Roman"/>
          <w:kern w:val="0"/>
          <w:lang w:val="en-US" w:eastAsia="zh-CN"/>
        </w:rPr>
        <w:t>、南京丹迪克电力仪表有限公司、江苏镇江燃气热电有限公司、南京化学工业园热电有限公司等单位共同编制。</w:t>
      </w:r>
    </w:p>
    <w:p w14:paraId="545C87E0">
      <w:pPr>
        <w:spacing w:line="480" w:lineRule="auto"/>
        <w:outlineLvl w:val="0"/>
        <w:rPr>
          <w:rFonts w:ascii="Times New Roman" w:hAnsi="Times New Roman" w:eastAsia="黑体"/>
          <w:kern w:val="0"/>
        </w:rPr>
      </w:pPr>
      <w:bookmarkStart w:id="15" w:name="_Toc12221"/>
      <w:r>
        <w:rPr>
          <w:rFonts w:ascii="Times New Roman" w:hAnsi="Times New Roman" w:eastAsia="黑体"/>
          <w:kern w:val="0"/>
        </w:rPr>
        <w:t>3</w:t>
      </w:r>
      <w:r>
        <w:rPr>
          <w:rFonts w:hint="eastAsia" w:ascii="Times New Roman" w:hAnsi="Times New Roman" w:eastAsia="黑体"/>
          <w:kern w:val="0"/>
        </w:rPr>
        <w:t xml:space="preserve"> 标准编制原则与确定标准主要内容的依据</w:t>
      </w:r>
      <w:bookmarkEnd w:id="15"/>
    </w:p>
    <w:p w14:paraId="7E133726">
      <w:pPr>
        <w:autoSpaceDE w:val="0"/>
        <w:autoSpaceDN w:val="0"/>
        <w:spacing w:line="360" w:lineRule="auto"/>
        <w:outlineLvl w:val="1"/>
        <w:rPr>
          <w:rFonts w:ascii="Times New Roman" w:hAnsi="Times New Roman" w:eastAsia="黑体"/>
          <w:kern w:val="0"/>
        </w:rPr>
      </w:pPr>
      <w:bookmarkStart w:id="16" w:name="_Toc2014"/>
      <w:r>
        <w:rPr>
          <w:rFonts w:hint="eastAsia" w:ascii="Times New Roman" w:hAnsi="Times New Roman" w:eastAsia="黑体"/>
          <w:kern w:val="0"/>
        </w:rPr>
        <w:t>3</w:t>
      </w:r>
      <w:r>
        <w:rPr>
          <w:rFonts w:ascii="Times New Roman" w:hAnsi="Times New Roman" w:eastAsia="黑体"/>
          <w:kern w:val="0"/>
        </w:rPr>
        <w:t xml:space="preserve">.1 </w:t>
      </w:r>
      <w:r>
        <w:rPr>
          <w:rFonts w:hint="eastAsia" w:ascii="Times New Roman" w:hAnsi="Times New Roman" w:eastAsia="黑体"/>
          <w:kern w:val="0"/>
        </w:rPr>
        <w:t>标准编制原则</w:t>
      </w:r>
      <w:bookmarkEnd w:id="16"/>
    </w:p>
    <w:p w14:paraId="50712CC9">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本文件在编制过程中遵循规范性、适用性、统一性、协调性和一致性原则：</w:t>
      </w:r>
    </w:p>
    <w:p w14:paraId="50275AFC">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1.规范性：本文件按照GB/T 1.1-2020《标准化工作导则 第1部分：标准化文件的结构和起草规则》和DL/T 800-2018《电力企业标准编写导则》的有关要求制定。</w:t>
      </w:r>
    </w:p>
    <w:p w14:paraId="740B709E">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2.适用性：本文件主要对统调上网关口电能表状态</w:t>
      </w:r>
      <w:r>
        <w:rPr>
          <w:rFonts w:hint="eastAsia" w:ascii="Times New Roman" w:hAnsi="Times New Roman"/>
          <w:kern w:val="0"/>
          <w:lang w:val="en-US" w:eastAsia="zh-CN"/>
        </w:rPr>
        <w:t>检测与更换</w:t>
      </w:r>
      <w:r>
        <w:rPr>
          <w:rFonts w:hint="eastAsia" w:ascii="Times New Roman" w:hAnsi="Times New Roman"/>
          <w:kern w:val="0"/>
        </w:rPr>
        <w:t>提出基本的技术要求，不对新出现技术做过多限制。</w:t>
      </w:r>
    </w:p>
    <w:p w14:paraId="54112DD7">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3.统一性：本文件全文结构、文体、术语和形式保持一致。</w:t>
      </w:r>
    </w:p>
    <w:p w14:paraId="6EAA7299">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4.协调性：本文件与相关已发布标准内容协调一致、不存在矛盾，并规范性引用相关已发布标准的内容。</w:t>
      </w:r>
    </w:p>
    <w:p w14:paraId="4A28D3D1">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5.一致性：本文件规定的技术要求不低于现行相关国家标准和电力行业标准，并参照江苏省实际情况细化。</w:t>
      </w:r>
    </w:p>
    <w:p w14:paraId="50866327">
      <w:pPr>
        <w:autoSpaceDE w:val="0"/>
        <w:autoSpaceDN w:val="0"/>
        <w:spacing w:line="360" w:lineRule="auto"/>
        <w:outlineLvl w:val="1"/>
        <w:rPr>
          <w:rFonts w:ascii="Times New Roman" w:hAnsi="Times New Roman" w:eastAsia="黑体"/>
          <w:kern w:val="0"/>
        </w:rPr>
      </w:pPr>
      <w:bookmarkStart w:id="17" w:name="_Toc17938"/>
      <w:r>
        <w:rPr>
          <w:rFonts w:hint="eastAsia" w:ascii="Times New Roman" w:hAnsi="Times New Roman" w:eastAsia="黑体"/>
          <w:kern w:val="0"/>
        </w:rPr>
        <w:t>3</w:t>
      </w:r>
      <w:r>
        <w:rPr>
          <w:rFonts w:ascii="Times New Roman" w:hAnsi="Times New Roman" w:eastAsia="黑体"/>
          <w:kern w:val="0"/>
        </w:rPr>
        <w:t xml:space="preserve">.2 </w:t>
      </w:r>
      <w:r>
        <w:rPr>
          <w:rFonts w:hint="eastAsia" w:ascii="Times New Roman" w:hAnsi="Times New Roman" w:eastAsia="黑体"/>
          <w:kern w:val="0"/>
        </w:rPr>
        <w:t>确定标准主要内容的依据</w:t>
      </w:r>
      <w:bookmarkEnd w:id="17"/>
    </w:p>
    <w:p w14:paraId="76DB109B">
      <w:pPr>
        <w:autoSpaceDE w:val="0"/>
        <w:autoSpaceDN w:val="0"/>
        <w:spacing w:line="240" w:lineRule="auto"/>
        <w:ind w:firstLine="420" w:firstLineChars="200"/>
        <w:rPr>
          <w:rFonts w:ascii="Times New Roman" w:hAnsi="Times New Roman"/>
          <w:kern w:val="0"/>
        </w:rPr>
      </w:pPr>
      <w:r>
        <w:rPr>
          <w:rFonts w:hint="eastAsia" w:ascii="Times New Roman" w:hAnsi="Times New Roman"/>
          <w:kern w:val="0"/>
        </w:rPr>
        <w:t>本文件的制定引用了</w:t>
      </w:r>
      <w:r>
        <w:rPr>
          <w:rFonts w:hint="eastAsia" w:ascii="Times New Roman"/>
        </w:rPr>
        <w:t>JJG 596-2012《电子式交流电能表》</w:t>
      </w:r>
      <w:r>
        <w:rPr>
          <w:rFonts w:hint="eastAsia" w:ascii="Times New Roman"/>
          <w:lang w:eastAsia="zh-CN"/>
        </w:rPr>
        <w:t>、DLT 448-2016《电能计量装置技术管理规程》、DLT 1664-2016《电能计量装置现场检验规程》、</w:t>
      </w:r>
      <w:r>
        <w:rPr>
          <w:rFonts w:hint="eastAsia" w:ascii="Times New Roman"/>
        </w:rPr>
        <w:t>国市监计量函〔2019〕52号《关于开展智能电能表状态评价及更换试点的批复》</w:t>
      </w:r>
      <w:r>
        <w:rPr>
          <w:rFonts w:hint="eastAsia" w:ascii="Times New Roman" w:hAnsi="Times New Roman"/>
          <w:kern w:val="0"/>
        </w:rPr>
        <w:t>等标准</w:t>
      </w:r>
      <w:r>
        <w:rPr>
          <w:rFonts w:hint="eastAsia" w:ascii="Times New Roman" w:hAnsi="Times New Roman"/>
          <w:kern w:val="0"/>
          <w:lang w:val="en-US" w:eastAsia="zh-CN"/>
        </w:rPr>
        <w:t>及要求</w:t>
      </w:r>
      <w:r>
        <w:rPr>
          <w:rFonts w:hint="eastAsia" w:ascii="Times New Roman" w:hAnsi="Times New Roman"/>
          <w:kern w:val="0"/>
        </w:rPr>
        <w:t>。</w:t>
      </w:r>
    </w:p>
    <w:p w14:paraId="14D1885A">
      <w:pPr>
        <w:spacing w:line="480" w:lineRule="auto"/>
        <w:outlineLvl w:val="0"/>
        <w:rPr>
          <w:rFonts w:ascii="Times New Roman" w:hAnsi="Times New Roman" w:eastAsia="黑体"/>
          <w:kern w:val="0"/>
        </w:rPr>
      </w:pPr>
      <w:bookmarkStart w:id="18" w:name="_Toc4705"/>
      <w:bookmarkStart w:id="19" w:name="_Toc338340184"/>
      <w:bookmarkStart w:id="20" w:name="_Toc497087671"/>
      <w:bookmarkStart w:id="21" w:name="_Toc10462824"/>
      <w:bookmarkStart w:id="22" w:name="_Toc495476951"/>
      <w:r>
        <w:rPr>
          <w:rFonts w:ascii="Times New Roman" w:hAnsi="Times New Roman" w:eastAsia="黑体"/>
          <w:kern w:val="0"/>
        </w:rPr>
        <w:t>4</w:t>
      </w:r>
      <w:r>
        <w:rPr>
          <w:rFonts w:hint="eastAsia" w:ascii="Times New Roman" w:hAnsi="Times New Roman" w:eastAsia="黑体"/>
          <w:kern w:val="0"/>
        </w:rPr>
        <w:t xml:space="preserve"> 编制过程</w:t>
      </w:r>
      <w:bookmarkEnd w:id="18"/>
      <w:bookmarkEnd w:id="19"/>
      <w:bookmarkEnd w:id="20"/>
      <w:bookmarkEnd w:id="21"/>
      <w:bookmarkEnd w:id="22"/>
    </w:p>
    <w:p w14:paraId="7CC893A1">
      <w:pPr>
        <w:pStyle w:val="19"/>
        <w:adjustRightInd w:val="0"/>
        <w:snapToGrid/>
        <w:spacing w:beforeLines="0" w:afterLines="0" w:line="240" w:lineRule="auto"/>
        <w:ind w:firstLine="420"/>
        <w:rPr>
          <w:rFonts w:hint="eastAsia" w:ascii="Times New Roman" w:hAnsi="Times New Roman" w:eastAsia="宋体" w:cstheme="minorBidi"/>
          <w:kern w:val="0"/>
          <w:szCs w:val="22"/>
          <w:highlight w:val="none"/>
          <w:lang w:val="en-US" w:eastAsia="zh-CN"/>
        </w:rPr>
      </w:pPr>
      <w:r>
        <w:rPr>
          <w:rFonts w:hint="eastAsia" w:ascii="Times New Roman" w:hAnsi="Times New Roman" w:cstheme="minorBidi"/>
          <w:kern w:val="0"/>
          <w:szCs w:val="22"/>
          <w:highlight w:val="none"/>
        </w:rPr>
        <w:t>20</w:t>
      </w:r>
      <w:r>
        <w:rPr>
          <w:rFonts w:ascii="Times New Roman" w:hAnsi="Times New Roman" w:cstheme="minorBidi"/>
          <w:kern w:val="0"/>
          <w:szCs w:val="22"/>
          <w:highlight w:val="none"/>
        </w:rPr>
        <w:t>2</w:t>
      </w:r>
      <w:r>
        <w:rPr>
          <w:rFonts w:hint="eastAsia" w:ascii="Times New Roman" w:hAnsi="Times New Roman" w:cstheme="minorBidi"/>
          <w:kern w:val="0"/>
          <w:szCs w:val="22"/>
          <w:highlight w:val="none"/>
          <w:lang w:val="en-US" w:eastAsia="zh-CN"/>
        </w:rPr>
        <w:t>1</w:t>
      </w:r>
      <w:r>
        <w:rPr>
          <w:rFonts w:hint="eastAsia" w:ascii="Times New Roman" w:hAnsi="Times New Roman" w:cstheme="minorBidi"/>
          <w:kern w:val="0"/>
          <w:szCs w:val="22"/>
          <w:highlight w:val="none"/>
        </w:rPr>
        <w:t>年</w:t>
      </w:r>
      <w:r>
        <w:rPr>
          <w:rFonts w:hint="eastAsia" w:ascii="Times New Roman" w:hAnsi="Times New Roman" w:cstheme="minorBidi"/>
          <w:kern w:val="0"/>
          <w:szCs w:val="22"/>
          <w:highlight w:val="none"/>
          <w:lang w:val="en-US" w:eastAsia="zh-CN"/>
        </w:rPr>
        <w:t>6月-8</w:t>
      </w:r>
      <w:r>
        <w:rPr>
          <w:rFonts w:hint="eastAsia" w:ascii="Times New Roman" w:hAnsi="Times New Roman" w:cstheme="minorBidi"/>
          <w:kern w:val="0"/>
          <w:szCs w:val="22"/>
          <w:highlight w:val="none"/>
        </w:rPr>
        <w:t>月，</w:t>
      </w:r>
      <w:r>
        <w:rPr>
          <w:rFonts w:hint="eastAsia" w:ascii="Times New Roman" w:hAnsi="Times New Roman" w:cstheme="minorBidi"/>
          <w:kern w:val="0"/>
          <w:szCs w:val="22"/>
          <w:highlight w:val="none"/>
          <w:lang w:val="en-US" w:eastAsia="zh-CN"/>
        </w:rPr>
        <w:t>编制《江苏电网统调上网关口电能表状态检测与更换工作方案》，按照安全性、准确性、可靠性及经济性要求，参考DL/T 1664-2016《电能计量装置现场检验规程》、JJF 1139-2005《计量器具检定周期确定原则和方法》及《国网公司电能表状态检验试点工作方案》相关技术要求，确定关口表状态检测及更换的要求及具体方法。同时，紧密结合关口电能表实验室检定、现场检验和实时运行数据，实施关口电能表状态检测和更换试点工作。</w:t>
      </w:r>
    </w:p>
    <w:p w14:paraId="65AFFA27">
      <w:pPr>
        <w:pStyle w:val="19"/>
        <w:adjustRightInd w:val="0"/>
        <w:snapToGrid/>
        <w:spacing w:beforeLines="0" w:afterLines="0" w:line="240" w:lineRule="auto"/>
        <w:ind w:firstLine="420"/>
        <w:rPr>
          <w:rFonts w:hint="eastAsia" w:ascii="Times New Roman" w:hAnsi="Times New Roman" w:cstheme="minorBidi"/>
          <w:kern w:val="0"/>
          <w:szCs w:val="22"/>
          <w:highlight w:val="none"/>
          <w:lang w:val="en-US" w:eastAsia="zh-CN"/>
        </w:rPr>
      </w:pPr>
      <w:r>
        <w:rPr>
          <w:rFonts w:hint="eastAsia" w:ascii="Times New Roman" w:hAnsi="Times New Roman" w:cstheme="minorBidi"/>
          <w:kern w:val="0"/>
          <w:szCs w:val="22"/>
          <w:highlight w:val="none"/>
        </w:rPr>
        <w:t>20</w:t>
      </w:r>
      <w:r>
        <w:rPr>
          <w:rFonts w:ascii="Times New Roman" w:hAnsi="Times New Roman" w:cstheme="minorBidi"/>
          <w:kern w:val="0"/>
          <w:szCs w:val="22"/>
          <w:highlight w:val="none"/>
        </w:rPr>
        <w:t>2</w:t>
      </w:r>
      <w:r>
        <w:rPr>
          <w:rFonts w:hint="eastAsia" w:ascii="Times New Roman" w:hAnsi="Times New Roman" w:cstheme="minorBidi"/>
          <w:kern w:val="0"/>
          <w:szCs w:val="22"/>
          <w:highlight w:val="none"/>
          <w:lang w:val="en-US" w:eastAsia="zh-CN"/>
        </w:rPr>
        <w:t>1</w:t>
      </w:r>
      <w:r>
        <w:rPr>
          <w:rFonts w:hint="eastAsia" w:ascii="Times New Roman" w:hAnsi="Times New Roman" w:cstheme="minorBidi"/>
          <w:kern w:val="0"/>
          <w:szCs w:val="22"/>
          <w:highlight w:val="none"/>
        </w:rPr>
        <w:t>年</w:t>
      </w:r>
      <w:r>
        <w:rPr>
          <w:rFonts w:hint="eastAsia" w:ascii="Times New Roman" w:hAnsi="Times New Roman" w:cstheme="minorBidi"/>
          <w:kern w:val="0"/>
          <w:szCs w:val="22"/>
          <w:highlight w:val="none"/>
          <w:lang w:val="en-US" w:eastAsia="zh-CN"/>
        </w:rPr>
        <w:t>9</w:t>
      </w:r>
      <w:r>
        <w:rPr>
          <w:rFonts w:hint="eastAsia" w:ascii="Times New Roman" w:hAnsi="Times New Roman" w:cstheme="minorBidi"/>
          <w:kern w:val="0"/>
          <w:szCs w:val="22"/>
          <w:highlight w:val="none"/>
        </w:rPr>
        <w:t>月-</w:t>
      </w:r>
      <w:r>
        <w:rPr>
          <w:rFonts w:ascii="Times New Roman" w:hAnsi="Times New Roman" w:cstheme="minorBidi"/>
          <w:kern w:val="0"/>
          <w:szCs w:val="22"/>
          <w:highlight w:val="none"/>
        </w:rPr>
        <w:t>202</w:t>
      </w:r>
      <w:r>
        <w:rPr>
          <w:rFonts w:hint="eastAsia" w:ascii="Times New Roman" w:hAnsi="Times New Roman" w:cstheme="minorBidi"/>
          <w:kern w:val="0"/>
          <w:szCs w:val="22"/>
          <w:highlight w:val="none"/>
          <w:lang w:val="en-US" w:eastAsia="zh-CN"/>
        </w:rPr>
        <w:t>1</w:t>
      </w:r>
      <w:r>
        <w:rPr>
          <w:rFonts w:hint="eastAsia" w:ascii="Times New Roman" w:hAnsi="Times New Roman" w:cstheme="minorBidi"/>
          <w:kern w:val="0"/>
          <w:szCs w:val="22"/>
          <w:highlight w:val="none"/>
        </w:rPr>
        <w:t>年</w:t>
      </w:r>
      <w:r>
        <w:rPr>
          <w:rFonts w:hint="eastAsia" w:ascii="Times New Roman" w:hAnsi="Times New Roman" w:cstheme="minorBidi"/>
          <w:kern w:val="0"/>
          <w:szCs w:val="22"/>
          <w:highlight w:val="none"/>
          <w:lang w:val="en-US" w:eastAsia="zh-CN"/>
        </w:rPr>
        <w:t>12</w:t>
      </w:r>
      <w:r>
        <w:rPr>
          <w:rFonts w:hint="eastAsia" w:ascii="Times New Roman" w:hAnsi="Times New Roman" w:cstheme="minorBidi"/>
          <w:kern w:val="0"/>
          <w:szCs w:val="22"/>
          <w:highlight w:val="none"/>
        </w:rPr>
        <w:t>月，</w:t>
      </w:r>
      <w:r>
        <w:rPr>
          <w:rFonts w:hint="eastAsia" w:ascii="Times New Roman" w:hAnsi="Times New Roman" w:cstheme="minorBidi"/>
          <w:kern w:val="0"/>
          <w:szCs w:val="22"/>
          <w:highlight w:val="none"/>
          <w:lang w:val="en-US" w:eastAsia="zh-CN"/>
        </w:rPr>
        <w:t>在前期技术方案基础上，牵头组织国能谏壁发电厂、徐州华润电力有限公司、华能南京燃机发电有限公司、中广核黄沙港风力发电有限公司、江苏国信临海风力发电有限公司、南京化工园热电有限公司</w:t>
      </w:r>
      <w:r>
        <w:rPr>
          <w:rFonts w:hint="eastAsia" w:ascii="Times New Roman" w:hAnsi="Times New Roman" w:cstheme="minorBidi"/>
          <w:kern w:val="0"/>
          <w:szCs w:val="22"/>
          <w:highlight w:val="none"/>
        </w:rPr>
        <w:t>开展</w:t>
      </w:r>
      <w:r>
        <w:rPr>
          <w:rFonts w:hint="eastAsia" w:ascii="Times New Roman" w:hAnsi="Times New Roman" w:cstheme="minorBidi"/>
          <w:kern w:val="0"/>
          <w:szCs w:val="22"/>
          <w:highlight w:val="none"/>
          <w:lang w:val="en-US" w:eastAsia="zh-CN"/>
        </w:rPr>
        <w:t>关口电能表状态检测及更换试点验证。选取12家典型常规火电、新能源统调电厂，对56只贸易结算关口电能表开展为期三个月试点验证，通过测算对比，计量现场校验工作量、人员配置均可大幅减少38.46%和33.33%，成效显著。</w:t>
      </w:r>
    </w:p>
    <w:p w14:paraId="607B063C">
      <w:pPr>
        <w:pStyle w:val="19"/>
        <w:adjustRightInd w:val="0"/>
        <w:snapToGrid/>
        <w:spacing w:beforeLines="0" w:afterLines="0" w:line="240" w:lineRule="auto"/>
        <w:ind w:firstLine="420"/>
        <w:rPr>
          <w:rFonts w:hint="default" w:ascii="Times New Roman" w:hAnsi="Times New Roman" w:cstheme="minorBidi"/>
          <w:kern w:val="0"/>
          <w:szCs w:val="22"/>
          <w:lang w:val="en-US" w:eastAsia="zh-CN"/>
        </w:rPr>
      </w:pPr>
      <w:r>
        <w:rPr>
          <w:rFonts w:hint="eastAsia" w:ascii="Times New Roman" w:hAnsi="Times New Roman" w:cstheme="minorBidi"/>
          <w:kern w:val="0"/>
          <w:szCs w:val="22"/>
          <w:highlight w:val="none"/>
          <w:lang w:val="en-US" w:eastAsia="zh-CN"/>
        </w:rPr>
        <w:t>2022年10月-2023年8月，扩大关口电能表状态评估试验验证范围，并进一步验证评估模型的合理性和适用性。</w:t>
      </w:r>
    </w:p>
    <w:p w14:paraId="13A6E2C6">
      <w:pPr>
        <w:pStyle w:val="19"/>
        <w:adjustRightInd w:val="0"/>
        <w:snapToGrid/>
        <w:spacing w:beforeLines="0" w:afterLines="0" w:line="240" w:lineRule="auto"/>
        <w:ind w:firstLine="420"/>
        <w:rPr>
          <w:rFonts w:ascii="Times New Roman" w:hAnsi="Times New Roman" w:cstheme="minorBidi"/>
          <w:kern w:val="0"/>
          <w:szCs w:val="22"/>
        </w:rPr>
      </w:pPr>
      <w:r>
        <w:rPr>
          <w:rFonts w:ascii="Times New Roman" w:hAnsi="Times New Roman" w:cstheme="minorBidi"/>
          <w:kern w:val="0"/>
          <w:szCs w:val="22"/>
        </w:rPr>
        <w:t>202</w:t>
      </w:r>
      <w:r>
        <w:rPr>
          <w:rFonts w:hint="eastAsia" w:ascii="Times New Roman" w:hAnsi="Times New Roman" w:cstheme="minorBidi"/>
          <w:kern w:val="0"/>
          <w:szCs w:val="22"/>
          <w:lang w:val="en-US" w:eastAsia="zh-CN"/>
        </w:rPr>
        <w:t>3</w:t>
      </w:r>
      <w:r>
        <w:rPr>
          <w:rFonts w:hint="eastAsia" w:ascii="Times New Roman" w:hAnsi="Times New Roman" w:cstheme="minorBidi"/>
          <w:kern w:val="0"/>
          <w:szCs w:val="22"/>
        </w:rPr>
        <w:t>年3月-</w:t>
      </w:r>
      <w:r>
        <w:rPr>
          <w:rFonts w:ascii="Times New Roman" w:hAnsi="Times New Roman" w:cstheme="minorBidi"/>
          <w:kern w:val="0"/>
          <w:szCs w:val="22"/>
        </w:rPr>
        <w:t>202</w:t>
      </w:r>
      <w:r>
        <w:rPr>
          <w:rFonts w:hint="eastAsia" w:ascii="Times New Roman" w:hAnsi="Times New Roman" w:cstheme="minorBidi"/>
          <w:kern w:val="0"/>
          <w:szCs w:val="22"/>
          <w:lang w:val="en-US" w:eastAsia="zh-CN"/>
        </w:rPr>
        <w:t>3</w:t>
      </w:r>
      <w:r>
        <w:rPr>
          <w:rFonts w:hint="eastAsia" w:ascii="Times New Roman" w:hAnsi="Times New Roman" w:cstheme="minorBidi"/>
          <w:kern w:val="0"/>
          <w:szCs w:val="22"/>
        </w:rPr>
        <w:t>年</w:t>
      </w:r>
      <w:r>
        <w:rPr>
          <w:rFonts w:hint="eastAsia" w:ascii="Times New Roman" w:hAnsi="Times New Roman" w:cstheme="minorBidi"/>
          <w:kern w:val="0"/>
          <w:szCs w:val="22"/>
          <w:lang w:val="en-US" w:eastAsia="zh-CN"/>
        </w:rPr>
        <w:t>5</w:t>
      </w:r>
      <w:r>
        <w:rPr>
          <w:rFonts w:hint="eastAsia" w:ascii="Times New Roman" w:hAnsi="Times New Roman" w:cstheme="minorBidi"/>
          <w:kern w:val="0"/>
          <w:szCs w:val="22"/>
        </w:rPr>
        <w:t>月，填报江苏省地方标准项目建议书，提交地方标准立项申请。</w:t>
      </w:r>
    </w:p>
    <w:p w14:paraId="6B89EAB1">
      <w:pPr>
        <w:pStyle w:val="19"/>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w:t>
      </w:r>
      <w:r>
        <w:rPr>
          <w:rFonts w:ascii="Times New Roman" w:hAnsi="Times New Roman" w:cstheme="minorBidi"/>
          <w:kern w:val="0"/>
          <w:szCs w:val="22"/>
        </w:rPr>
        <w:t>02</w:t>
      </w:r>
      <w:r>
        <w:rPr>
          <w:rFonts w:hint="eastAsia" w:ascii="Times New Roman" w:hAnsi="Times New Roman" w:cstheme="minorBidi"/>
          <w:kern w:val="0"/>
          <w:szCs w:val="22"/>
          <w:lang w:val="en-US" w:eastAsia="zh-CN"/>
        </w:rPr>
        <w:t>3</w:t>
      </w:r>
      <w:r>
        <w:rPr>
          <w:rFonts w:hint="eastAsia" w:ascii="Times New Roman" w:hAnsi="Times New Roman" w:cstheme="minorBidi"/>
          <w:kern w:val="0"/>
          <w:szCs w:val="22"/>
        </w:rPr>
        <w:t>年</w:t>
      </w:r>
      <w:r>
        <w:rPr>
          <w:rFonts w:hint="eastAsia" w:ascii="Times New Roman" w:hAnsi="Times New Roman" w:cstheme="minorBidi"/>
          <w:kern w:val="0"/>
          <w:szCs w:val="22"/>
          <w:lang w:val="en-US" w:eastAsia="zh-CN"/>
        </w:rPr>
        <w:t>7</w:t>
      </w:r>
      <w:r>
        <w:rPr>
          <w:rFonts w:hint="eastAsia" w:ascii="Times New Roman" w:hAnsi="Times New Roman" w:cstheme="minorBidi"/>
          <w:kern w:val="0"/>
          <w:szCs w:val="22"/>
        </w:rPr>
        <w:t>月</w:t>
      </w:r>
      <w:r>
        <w:rPr>
          <w:rFonts w:hint="eastAsia" w:ascii="Times New Roman" w:hAnsi="Times New Roman" w:cstheme="minorBidi"/>
          <w:kern w:val="0"/>
          <w:szCs w:val="22"/>
          <w:lang w:val="en-US" w:eastAsia="zh-CN"/>
        </w:rPr>
        <w:t>-8月</w:t>
      </w:r>
      <w:r>
        <w:rPr>
          <w:rFonts w:hint="eastAsia" w:ascii="Times New Roman" w:hAnsi="Times New Roman" w:cstheme="minorBidi"/>
          <w:kern w:val="0"/>
          <w:szCs w:val="22"/>
        </w:rPr>
        <w:t>，获批正式立项。项目启动，成立编写组，确定参编单位及人员，同时对行业相关的标准进行系统性梳理，在此基础上总结出目前存在的主要问题。部署制定工作计划，确定标准体系框架，明确了标准编制的目的、思路、任务、分工及进度要求。</w:t>
      </w:r>
    </w:p>
    <w:p w14:paraId="42BC086E">
      <w:pPr>
        <w:pStyle w:val="19"/>
        <w:adjustRightInd w:val="0"/>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w:t>
      </w:r>
      <w:r>
        <w:rPr>
          <w:rFonts w:ascii="Times New Roman" w:hAnsi="Times New Roman" w:cstheme="minorBidi"/>
          <w:kern w:val="0"/>
          <w:szCs w:val="22"/>
        </w:rPr>
        <w:t>02</w:t>
      </w:r>
      <w:r>
        <w:rPr>
          <w:rFonts w:hint="eastAsia" w:ascii="Times New Roman" w:hAnsi="Times New Roman" w:cstheme="minorBidi"/>
          <w:kern w:val="0"/>
          <w:szCs w:val="22"/>
          <w:lang w:val="en-US" w:eastAsia="zh-CN"/>
        </w:rPr>
        <w:t>4</w:t>
      </w:r>
      <w:r>
        <w:rPr>
          <w:rFonts w:hint="eastAsia" w:ascii="Times New Roman" w:hAnsi="Times New Roman" w:cstheme="minorBidi"/>
          <w:kern w:val="0"/>
          <w:szCs w:val="22"/>
        </w:rPr>
        <w:t>年</w:t>
      </w:r>
      <w:r>
        <w:rPr>
          <w:rFonts w:ascii="Times New Roman" w:hAnsi="Times New Roman" w:cstheme="minorBidi"/>
          <w:kern w:val="0"/>
          <w:szCs w:val="22"/>
        </w:rPr>
        <w:t>9</w:t>
      </w:r>
      <w:r>
        <w:rPr>
          <w:rFonts w:hint="eastAsia" w:ascii="Times New Roman" w:hAnsi="Times New Roman" w:cstheme="minorBidi"/>
          <w:kern w:val="0"/>
          <w:szCs w:val="22"/>
        </w:rPr>
        <w:t>月，根据前期研究与调研成果，形成标准草案稿。组织标准草案内部评审会，与会专家对</w:t>
      </w:r>
      <w:r>
        <w:rPr>
          <w:rFonts w:hint="eastAsia" w:ascii="Times New Roman" w:hAnsi="Times New Roman" w:cstheme="minorBidi"/>
          <w:kern w:val="0"/>
          <w:szCs w:val="22"/>
          <w:lang w:val="en-US" w:eastAsia="zh-CN"/>
        </w:rPr>
        <w:t>标准名称、</w:t>
      </w:r>
      <w:r>
        <w:rPr>
          <w:rFonts w:ascii="Times New Roman" w:hAnsi="Times New Roman" w:cstheme="minorBidi"/>
          <w:kern w:val="0"/>
          <w:szCs w:val="22"/>
        </w:rPr>
        <w:t>涉及的</w:t>
      </w:r>
      <w:r>
        <w:rPr>
          <w:rFonts w:hint="eastAsia" w:ascii="Times New Roman" w:hAnsi="Times New Roman" w:cstheme="minorBidi"/>
          <w:kern w:val="0"/>
          <w:szCs w:val="22"/>
        </w:rPr>
        <w:t>规范性引用文件</w:t>
      </w:r>
      <w:r>
        <w:rPr>
          <w:rFonts w:ascii="Times New Roman" w:hAnsi="Times New Roman" w:cstheme="minorBidi"/>
          <w:kern w:val="0"/>
          <w:szCs w:val="22"/>
        </w:rPr>
        <w:t>、</w:t>
      </w:r>
      <w:r>
        <w:rPr>
          <w:rFonts w:hint="eastAsia" w:ascii="Times New Roman" w:hAnsi="Times New Roman" w:cstheme="minorBidi"/>
          <w:kern w:val="0"/>
          <w:szCs w:val="22"/>
        </w:rPr>
        <w:t>标准结构提出了宝贵修改意见。根据专家意见，编写组对标准进行了修改完善。</w:t>
      </w:r>
    </w:p>
    <w:p w14:paraId="6DD451CE">
      <w:pPr>
        <w:autoSpaceDE w:val="0"/>
        <w:autoSpaceDN w:val="0"/>
        <w:spacing w:line="240" w:lineRule="auto"/>
        <w:ind w:firstLine="420" w:firstLineChars="200"/>
        <w:rPr>
          <w:rFonts w:hint="eastAsia" w:ascii="Times New Roman" w:hAnsi="Times New Roman"/>
          <w:kern w:val="0"/>
        </w:rPr>
      </w:pPr>
      <w:r>
        <w:rPr>
          <w:rFonts w:hint="eastAsia" w:ascii="Times New Roman" w:hAnsi="Times New Roman"/>
          <w:kern w:val="0"/>
        </w:rPr>
        <w:t>202</w:t>
      </w:r>
      <w:r>
        <w:rPr>
          <w:rFonts w:hint="eastAsia" w:ascii="Times New Roman" w:hAnsi="Times New Roman"/>
          <w:kern w:val="0"/>
          <w:lang w:val="en-US" w:eastAsia="zh-CN"/>
        </w:rPr>
        <w:t>5</w:t>
      </w:r>
      <w:r>
        <w:rPr>
          <w:rFonts w:hint="eastAsia" w:ascii="Times New Roman" w:hAnsi="Times New Roman"/>
          <w:kern w:val="0"/>
        </w:rPr>
        <w:t>年</w:t>
      </w:r>
      <w:r>
        <w:rPr>
          <w:rFonts w:hint="eastAsia" w:ascii="Times New Roman" w:hAnsi="Times New Roman"/>
          <w:kern w:val="0"/>
          <w:lang w:val="en-US" w:eastAsia="zh-CN"/>
        </w:rPr>
        <w:t>2</w:t>
      </w:r>
      <w:r>
        <w:rPr>
          <w:rFonts w:hint="eastAsia" w:ascii="Times New Roman" w:hAnsi="Times New Roman"/>
          <w:kern w:val="0"/>
        </w:rPr>
        <w:t>月，</w:t>
      </w:r>
      <w:r>
        <w:rPr>
          <w:rFonts w:hint="eastAsia" w:ascii="Times New Roman" w:hAnsi="Times New Roman"/>
          <w:kern w:val="0"/>
          <w:lang w:val="en-US" w:eastAsia="zh-CN"/>
        </w:rPr>
        <w:t>江苏省电力标准化技术委员会</w:t>
      </w:r>
      <w:r>
        <w:rPr>
          <w:rFonts w:hint="eastAsia" w:ascii="Times New Roman" w:hAnsi="Times New Roman"/>
          <w:kern w:val="0"/>
        </w:rPr>
        <w:t>组织《</w:t>
      </w:r>
      <w:r>
        <w:rPr>
          <w:rFonts w:hint="eastAsia" w:ascii="宋体" w:hAnsi="宋体"/>
        </w:rPr>
        <w:t>统调上网关口电能表</w:t>
      </w:r>
      <w:r>
        <w:rPr>
          <w:rFonts w:hint="eastAsia" w:ascii="宋体" w:hAnsi="宋体"/>
          <w:lang w:eastAsia="zh-CN"/>
        </w:rPr>
        <w:t>状态检测与更换</w:t>
      </w:r>
      <w:r>
        <w:rPr>
          <w:rFonts w:hint="eastAsia" w:hAnsi="宋体"/>
          <w:lang w:val="en-US" w:eastAsia="zh-CN"/>
        </w:rPr>
        <w:t>技术规范</w:t>
      </w:r>
      <w:r>
        <w:rPr>
          <w:rFonts w:hint="eastAsia" w:ascii="Times New Roman" w:hAnsi="Times New Roman"/>
          <w:kern w:val="0"/>
        </w:rPr>
        <w:t>》标准</w:t>
      </w:r>
      <w:r>
        <w:rPr>
          <w:rFonts w:hint="eastAsia" w:ascii="Times New Roman" w:hAnsi="Times New Roman"/>
          <w:kern w:val="0"/>
          <w:lang w:val="en-US" w:eastAsia="zh-CN"/>
        </w:rPr>
        <w:t>预评审</w:t>
      </w:r>
      <w:r>
        <w:rPr>
          <w:rFonts w:hint="eastAsia" w:ascii="Times New Roman" w:hAnsi="Times New Roman"/>
          <w:kern w:val="0"/>
        </w:rPr>
        <w:t>。</w:t>
      </w:r>
    </w:p>
    <w:p w14:paraId="509F3AF8">
      <w:pPr>
        <w:autoSpaceDE w:val="0"/>
        <w:autoSpaceDN w:val="0"/>
        <w:spacing w:line="240" w:lineRule="auto"/>
        <w:ind w:firstLine="420" w:firstLineChars="200"/>
        <w:rPr>
          <w:rFonts w:hint="eastAsia" w:ascii="Times New Roman" w:hAnsi="Times New Roman"/>
          <w:kern w:val="0"/>
          <w:lang w:val="en-US" w:eastAsia="zh-CN"/>
        </w:rPr>
      </w:pPr>
      <w:r>
        <w:rPr>
          <w:rFonts w:hint="eastAsia" w:ascii="Times New Roman" w:hAnsi="Times New Roman"/>
          <w:kern w:val="0"/>
          <w:lang w:val="en-US" w:eastAsia="zh-CN"/>
        </w:rPr>
        <w:t>2025年3月，江苏省电力标准化技术委员会下发《关于关于征求《</w:t>
      </w:r>
      <w:r>
        <w:rPr>
          <w:rFonts w:hint="eastAsia" w:ascii="宋体" w:hAnsi="宋体"/>
        </w:rPr>
        <w:t>统调上网关口电能表</w:t>
      </w:r>
      <w:r>
        <w:rPr>
          <w:rFonts w:hint="eastAsia" w:ascii="宋体" w:hAnsi="宋体"/>
          <w:lang w:eastAsia="zh-CN"/>
        </w:rPr>
        <w:t>状态检测与更换</w:t>
      </w:r>
      <w:r>
        <w:rPr>
          <w:rFonts w:hint="eastAsia" w:hAnsi="宋体"/>
          <w:lang w:val="en-US" w:eastAsia="zh-CN"/>
        </w:rPr>
        <w:t>技术规范</w:t>
      </w:r>
      <w:r>
        <w:rPr>
          <w:rFonts w:hint="eastAsia" w:ascii="Times New Roman" w:hAnsi="Times New Roman"/>
          <w:kern w:val="0"/>
          <w:lang w:val="en-US" w:eastAsia="zh-CN"/>
        </w:rPr>
        <w:t>》等4项地方标准意见的函（苏电标委会〔2025〕4号）》，其中，本标准共收集征求意见34条，采纳22条，部分采纳6条，</w:t>
      </w:r>
      <w:bookmarkStart w:id="44" w:name="_GoBack"/>
      <w:bookmarkEnd w:id="44"/>
      <w:r>
        <w:rPr>
          <w:rFonts w:hint="eastAsia" w:ascii="Times New Roman" w:hAnsi="Times New Roman"/>
          <w:kern w:val="0"/>
          <w:lang w:val="en-US" w:eastAsia="zh-CN"/>
        </w:rPr>
        <w:t>不采纳6条。</w:t>
      </w:r>
    </w:p>
    <w:p w14:paraId="373E947D">
      <w:pPr>
        <w:autoSpaceDE w:val="0"/>
        <w:autoSpaceDN w:val="0"/>
        <w:spacing w:line="240" w:lineRule="auto"/>
        <w:ind w:firstLine="420" w:firstLineChars="200"/>
        <w:rPr>
          <w:rFonts w:hint="default" w:ascii="Times New Roman" w:hAnsi="Times New Roman"/>
          <w:kern w:val="0"/>
          <w:lang w:val="en-US" w:eastAsia="zh-CN"/>
        </w:rPr>
      </w:pPr>
      <w:r>
        <w:rPr>
          <w:rFonts w:hint="default" w:ascii="Times New Roman" w:hAnsi="Times New Roman"/>
          <w:kern w:val="0"/>
          <w:lang w:val="en-US" w:eastAsia="zh-CN"/>
        </w:rPr>
        <w:t>2025年1</w:t>
      </w:r>
      <w:r>
        <w:rPr>
          <w:rFonts w:hint="eastAsia" w:ascii="Times New Roman" w:hAnsi="Times New Roman"/>
          <w:kern w:val="0"/>
          <w:lang w:val="en-US" w:eastAsia="zh-CN"/>
        </w:rPr>
        <w:t>1</w:t>
      </w:r>
      <w:r>
        <w:rPr>
          <w:rFonts w:hint="default" w:ascii="Times New Roman" w:hAnsi="Times New Roman"/>
          <w:kern w:val="0"/>
          <w:lang w:val="en-US" w:eastAsia="zh-CN"/>
        </w:rPr>
        <w:t>月，江苏省市场监管局组织召开了标准审查会议，专家听取了编制组关于标准编制情况的汇报，并对标准送审稿进行审查，建议在原有文本基础上对少数内容进行修改完善后报批。</w:t>
      </w:r>
    </w:p>
    <w:p w14:paraId="2A2B801D">
      <w:pPr>
        <w:autoSpaceDE w:val="0"/>
        <w:autoSpaceDN w:val="0"/>
        <w:spacing w:line="240" w:lineRule="auto"/>
        <w:ind w:firstLine="420" w:firstLineChars="200"/>
        <w:rPr>
          <w:rFonts w:hint="default" w:ascii="Times New Roman" w:hAnsi="Times New Roman"/>
          <w:kern w:val="0"/>
          <w:lang w:val="en-US" w:eastAsia="zh-CN"/>
        </w:rPr>
      </w:pPr>
      <w:r>
        <w:rPr>
          <w:rFonts w:hint="default" w:ascii="Times New Roman" w:hAnsi="Times New Roman"/>
          <w:kern w:val="0"/>
          <w:lang w:val="en-US" w:eastAsia="zh-CN"/>
        </w:rPr>
        <w:t>2025年11月至12月，根据标准审查会议专家的意见修改送审稿，形成报批稿。</w:t>
      </w:r>
    </w:p>
    <w:p w14:paraId="6D98B043">
      <w:pPr>
        <w:spacing w:line="480" w:lineRule="auto"/>
        <w:outlineLvl w:val="0"/>
        <w:rPr>
          <w:rFonts w:ascii="Times New Roman" w:hAnsi="Times New Roman" w:eastAsia="黑体"/>
          <w:kern w:val="0"/>
        </w:rPr>
      </w:pPr>
      <w:bookmarkStart w:id="23" w:name="_Toc338340185"/>
      <w:bookmarkStart w:id="24" w:name="_Toc10462825"/>
      <w:bookmarkStart w:id="25" w:name="_Toc497087672"/>
      <w:bookmarkStart w:id="26" w:name="_Toc18593"/>
      <w:bookmarkStart w:id="27" w:name="_Toc495476952"/>
      <w:r>
        <w:rPr>
          <w:rFonts w:ascii="Times New Roman" w:hAnsi="Times New Roman" w:eastAsia="黑体"/>
          <w:kern w:val="0"/>
        </w:rPr>
        <w:t>5</w:t>
      </w:r>
      <w:r>
        <w:rPr>
          <w:rFonts w:hint="eastAsia" w:ascii="Times New Roman" w:hAnsi="Times New Roman" w:eastAsia="黑体"/>
          <w:kern w:val="0"/>
        </w:rPr>
        <w:t xml:space="preserve"> 主要内容</w:t>
      </w:r>
      <w:bookmarkEnd w:id="23"/>
      <w:bookmarkEnd w:id="24"/>
      <w:bookmarkEnd w:id="25"/>
      <w:bookmarkEnd w:id="26"/>
      <w:bookmarkEnd w:id="27"/>
    </w:p>
    <w:p w14:paraId="52B78ECB">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本文件的主要结构和内容如下：</w:t>
      </w:r>
    </w:p>
    <w:p w14:paraId="67B98AD6">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1.目次；</w:t>
      </w:r>
    </w:p>
    <w:p w14:paraId="02D84018">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2.前言；</w:t>
      </w:r>
    </w:p>
    <w:p w14:paraId="4E0CB189">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3.正文共设</w:t>
      </w:r>
      <w:r>
        <w:rPr>
          <w:rFonts w:hint="eastAsia" w:ascii="Times New Roman" w:hAnsi="Times New Roman" w:cstheme="minorBidi"/>
          <w:kern w:val="0"/>
          <w:szCs w:val="22"/>
          <w:lang w:val="en-US" w:eastAsia="zh-CN"/>
        </w:rPr>
        <w:t>6</w:t>
      </w:r>
      <w:r>
        <w:rPr>
          <w:rFonts w:hint="eastAsia" w:ascii="Times New Roman" w:hAnsi="Times New Roman" w:cstheme="minorBidi"/>
          <w:kern w:val="0"/>
          <w:szCs w:val="22"/>
        </w:rPr>
        <w:t>章：范围，规范性引用文件，术语和定义，</w:t>
      </w:r>
      <w:r>
        <w:rPr>
          <w:rFonts w:hint="eastAsia"/>
          <w:lang w:val="en-US" w:eastAsia="zh-CN"/>
        </w:rPr>
        <w:t>运行特性评价</w:t>
      </w:r>
      <w:r>
        <w:rPr>
          <w:rFonts w:hint="eastAsia" w:ascii="Times New Roman" w:hAnsi="Times New Roman" w:cstheme="minorBidi"/>
          <w:kern w:val="0"/>
          <w:szCs w:val="22"/>
        </w:rPr>
        <w:t>，</w:t>
      </w:r>
      <w:r>
        <w:rPr>
          <w:rFonts w:hint="eastAsia"/>
          <w:lang w:val="en-US" w:eastAsia="zh-CN"/>
        </w:rPr>
        <w:t>误差特性评价，评价结果处理、更换</w:t>
      </w:r>
      <w:r>
        <w:rPr>
          <w:rFonts w:hint="eastAsia" w:ascii="Times New Roman" w:hAnsi="Times New Roman" w:cstheme="minorBidi"/>
          <w:kern w:val="0"/>
          <w:szCs w:val="22"/>
        </w:rPr>
        <w:t>。</w:t>
      </w:r>
    </w:p>
    <w:p w14:paraId="008D31D7">
      <w:pPr>
        <w:pStyle w:val="19"/>
        <w:snapToGrid/>
        <w:spacing w:beforeLines="0" w:afterLines="0" w:line="240" w:lineRule="auto"/>
        <w:ind w:firstLine="420"/>
        <w:rPr>
          <w:rFonts w:hint="default" w:ascii="Times New Roman" w:hAnsi="Times New Roman" w:eastAsia="宋体" w:cstheme="minorBidi"/>
          <w:kern w:val="0"/>
          <w:szCs w:val="22"/>
          <w:lang w:val="en-US" w:eastAsia="zh-CN"/>
        </w:rPr>
      </w:pPr>
      <w:r>
        <w:rPr>
          <w:rFonts w:hint="eastAsia" w:ascii="Times New Roman" w:hAnsi="Times New Roman" w:cstheme="minorBidi"/>
          <w:kern w:val="0"/>
          <w:szCs w:val="22"/>
        </w:rPr>
        <w:t>4</w:t>
      </w:r>
      <w:r>
        <w:rPr>
          <w:rFonts w:ascii="Times New Roman" w:hAnsi="Times New Roman" w:cstheme="minorBidi"/>
          <w:kern w:val="0"/>
          <w:szCs w:val="22"/>
        </w:rPr>
        <w:t>.</w:t>
      </w:r>
      <w:r>
        <w:rPr>
          <w:rFonts w:hint="eastAsia" w:ascii="Times New Roman" w:hAnsi="Times New Roman" w:cstheme="minorBidi"/>
          <w:kern w:val="0"/>
          <w:szCs w:val="22"/>
        </w:rPr>
        <w:t>主体章节分为</w:t>
      </w:r>
      <w:r>
        <w:rPr>
          <w:rFonts w:hint="eastAsia" w:ascii="Times New Roman" w:hAnsi="Times New Roman" w:cstheme="minorBidi"/>
          <w:kern w:val="0"/>
          <w:szCs w:val="22"/>
          <w:lang w:val="en-US" w:eastAsia="zh-CN"/>
        </w:rPr>
        <w:t>4</w:t>
      </w:r>
      <w:r>
        <w:rPr>
          <w:rFonts w:hint="eastAsia" w:ascii="Times New Roman" w:hAnsi="Times New Roman" w:cstheme="minorBidi"/>
          <w:kern w:val="0"/>
          <w:szCs w:val="22"/>
        </w:rPr>
        <w:t>章，由</w:t>
      </w:r>
      <w:r>
        <w:rPr>
          <w:rFonts w:hint="eastAsia"/>
          <w:lang w:val="en-US" w:eastAsia="zh-CN"/>
        </w:rPr>
        <w:t>运行特性评价</w:t>
      </w:r>
      <w:r>
        <w:rPr>
          <w:rFonts w:hint="eastAsia" w:ascii="Times New Roman" w:hAnsi="Times New Roman" w:cstheme="minorBidi"/>
          <w:kern w:val="0"/>
          <w:szCs w:val="22"/>
        </w:rPr>
        <w:t>，</w:t>
      </w:r>
      <w:r>
        <w:rPr>
          <w:rFonts w:hint="eastAsia"/>
          <w:lang w:val="en-US" w:eastAsia="zh-CN"/>
        </w:rPr>
        <w:t>误差特性评价，评价结果处理、更换</w:t>
      </w:r>
      <w:r>
        <w:rPr>
          <w:rFonts w:hint="eastAsia" w:ascii="Times New Roman" w:hAnsi="Times New Roman" w:cstheme="minorBidi"/>
          <w:kern w:val="0"/>
          <w:szCs w:val="22"/>
        </w:rPr>
        <w:t>组成。这</w:t>
      </w:r>
      <w:r>
        <w:rPr>
          <w:rFonts w:hint="eastAsia" w:ascii="Times New Roman" w:hAnsi="Times New Roman" w:cstheme="minorBidi"/>
          <w:kern w:val="0"/>
          <w:szCs w:val="22"/>
          <w:lang w:val="en-US" w:eastAsia="zh-CN"/>
        </w:rPr>
        <w:t>4</w:t>
      </w:r>
      <w:r>
        <w:rPr>
          <w:rFonts w:hint="eastAsia" w:ascii="Times New Roman" w:hAnsi="Times New Roman" w:cstheme="minorBidi"/>
          <w:kern w:val="0"/>
          <w:szCs w:val="22"/>
        </w:rPr>
        <w:t>章构成本文件的总体结构。第</w:t>
      </w:r>
      <w:r>
        <w:rPr>
          <w:rFonts w:hint="eastAsia" w:ascii="Times New Roman" w:hAnsi="Times New Roman" w:cstheme="minorBidi"/>
          <w:kern w:val="0"/>
          <w:szCs w:val="22"/>
          <w:lang w:val="en-US" w:eastAsia="zh-CN"/>
        </w:rPr>
        <w:t>4</w:t>
      </w:r>
      <w:r>
        <w:rPr>
          <w:rFonts w:hint="eastAsia" w:ascii="Times New Roman" w:hAnsi="Times New Roman" w:cstheme="minorBidi"/>
          <w:kern w:val="0"/>
          <w:szCs w:val="22"/>
        </w:rPr>
        <w:t>章</w:t>
      </w:r>
      <w:r>
        <w:rPr>
          <w:rFonts w:hint="eastAsia" w:ascii="Times New Roman" w:hAnsi="Times New Roman" w:cstheme="minorBidi"/>
          <w:kern w:val="0"/>
          <w:szCs w:val="22"/>
          <w:lang w:val="en-US" w:eastAsia="zh-CN"/>
        </w:rPr>
        <w:t>分别</w:t>
      </w:r>
      <w:r>
        <w:rPr>
          <w:rFonts w:hint="eastAsia" w:ascii="Times New Roman" w:hAnsi="Times New Roman" w:cstheme="minorBidi"/>
          <w:kern w:val="0"/>
          <w:szCs w:val="22"/>
        </w:rPr>
        <w:t>明确了</w:t>
      </w:r>
      <w:r>
        <w:rPr>
          <w:rFonts w:hint="eastAsia" w:ascii="Times New Roman"/>
          <w:lang w:val="en-US" w:eastAsia="zh-CN"/>
        </w:rPr>
        <w:t>关口电能表运行特性评价中所需数据的获取要求、评价规则中评价结果分类、具体判断内容、方法及其评价指标；</w:t>
      </w:r>
      <w:r>
        <w:rPr>
          <w:rFonts w:hint="eastAsia" w:ascii="Times New Roman" w:hAnsi="Times New Roman" w:cstheme="minorBidi"/>
          <w:kern w:val="0"/>
          <w:szCs w:val="22"/>
        </w:rPr>
        <w:t>第</w:t>
      </w:r>
      <w:r>
        <w:rPr>
          <w:rFonts w:hint="eastAsia" w:ascii="Times New Roman" w:hAnsi="Times New Roman" w:cstheme="minorBidi"/>
          <w:kern w:val="0"/>
          <w:szCs w:val="22"/>
          <w:lang w:val="en-US" w:eastAsia="zh-CN"/>
        </w:rPr>
        <w:t>5</w:t>
      </w:r>
      <w:r>
        <w:rPr>
          <w:rFonts w:hint="eastAsia" w:ascii="Times New Roman" w:hAnsi="Times New Roman" w:cstheme="minorBidi"/>
          <w:kern w:val="0"/>
          <w:szCs w:val="22"/>
        </w:rPr>
        <w:t>章</w:t>
      </w:r>
      <w:r>
        <w:rPr>
          <w:rFonts w:hint="eastAsia" w:ascii="Times New Roman" w:hAnsi="Times New Roman" w:cstheme="minorBidi"/>
          <w:kern w:val="0"/>
          <w:szCs w:val="22"/>
          <w:lang w:val="en-US" w:eastAsia="zh-CN"/>
        </w:rPr>
        <w:t>分别</w:t>
      </w:r>
      <w:r>
        <w:rPr>
          <w:rFonts w:hint="eastAsia" w:ascii="Times New Roman" w:hAnsi="Times New Roman" w:cstheme="minorBidi"/>
          <w:kern w:val="0"/>
          <w:szCs w:val="22"/>
        </w:rPr>
        <w:t>明确了</w:t>
      </w:r>
      <w:r>
        <w:rPr>
          <w:rFonts w:hint="eastAsia" w:ascii="Times New Roman"/>
          <w:lang w:val="en-US" w:eastAsia="zh-CN"/>
        </w:rPr>
        <w:t>关口电能表误差特性评价中现场检验数据的要求、具体评价内容、方法及其评价指标；第6章规定了</w:t>
      </w:r>
      <w:r>
        <w:rPr>
          <w:rFonts w:hint="eastAsia"/>
          <w:lang w:val="en-US" w:eastAsia="zh-CN"/>
        </w:rPr>
        <w:t>运行特征评价和误差特征评价的执行要求，以及</w:t>
      </w:r>
      <w:r>
        <w:rPr>
          <w:rFonts w:hint="eastAsia" w:ascii="Times New Roman"/>
          <w:lang w:val="en-US" w:eastAsia="zh-CN"/>
        </w:rPr>
        <w:t>依据评价结果开展现场检验与现场消缺的</w:t>
      </w:r>
      <w:r>
        <w:rPr>
          <w:rFonts w:hint="eastAsia" w:ascii="Times New Roman" w:hAnsi="Times New Roman" w:cstheme="minorBidi"/>
          <w:kern w:val="0"/>
          <w:szCs w:val="22"/>
          <w:lang w:val="en-US" w:eastAsia="zh-CN"/>
        </w:rPr>
        <w:t>具体要求</w:t>
      </w:r>
      <w:r>
        <w:rPr>
          <w:rFonts w:hint="eastAsia" w:ascii="Times New Roman" w:hAnsi="Times New Roman" w:cstheme="minorBidi"/>
          <w:kern w:val="0"/>
          <w:szCs w:val="22"/>
        </w:rPr>
        <w:t>。</w:t>
      </w:r>
      <w:r>
        <w:rPr>
          <w:rFonts w:hint="eastAsia" w:ascii="Times New Roman" w:hAnsi="Times New Roman" w:cstheme="minorBidi"/>
          <w:kern w:val="0"/>
          <w:szCs w:val="22"/>
          <w:lang w:val="en-US" w:eastAsia="zh-CN"/>
        </w:rPr>
        <w:t>第7章</w:t>
      </w:r>
      <w:r>
        <w:rPr>
          <w:rFonts w:hint="eastAsia" w:ascii="Times New Roman"/>
          <w:lang w:val="en-US" w:eastAsia="zh-CN"/>
        </w:rPr>
        <w:t>规定了依据评价结果进行电能表更换的具体要求。</w:t>
      </w:r>
    </w:p>
    <w:p w14:paraId="1A402F92">
      <w:pPr>
        <w:spacing w:line="480" w:lineRule="auto"/>
        <w:outlineLvl w:val="0"/>
        <w:rPr>
          <w:rFonts w:ascii="Times New Roman" w:hAnsi="Times New Roman" w:eastAsia="黑体"/>
          <w:kern w:val="0"/>
        </w:rPr>
      </w:pPr>
      <w:bookmarkStart w:id="28" w:name="_Toc1159"/>
      <w:r>
        <w:rPr>
          <w:rFonts w:hint="eastAsia" w:ascii="Times New Roman" w:hAnsi="Times New Roman" w:eastAsia="黑体"/>
          <w:kern w:val="0"/>
          <w:lang w:val="en-US" w:eastAsia="zh-CN"/>
        </w:rPr>
        <w:t>6</w:t>
      </w:r>
      <w:r>
        <w:rPr>
          <w:rFonts w:hint="eastAsia" w:ascii="Times New Roman" w:hAnsi="Times New Roman" w:eastAsia="黑体"/>
          <w:kern w:val="0"/>
        </w:rPr>
        <w:t xml:space="preserve"> 重大分歧意见的处理过程和依据</w:t>
      </w:r>
      <w:bookmarkEnd w:id="28"/>
    </w:p>
    <w:p w14:paraId="39EC6AB0">
      <w:pPr>
        <w:widowControl/>
        <w:tabs>
          <w:tab w:val="left" w:pos="832"/>
        </w:tabs>
        <w:spacing w:line="240" w:lineRule="auto"/>
        <w:ind w:firstLine="420" w:firstLineChars="200"/>
        <w:rPr>
          <w:rFonts w:ascii="Times New Roman" w:hAnsi="Times New Roman"/>
          <w:kern w:val="0"/>
        </w:rPr>
      </w:pPr>
      <w:r>
        <w:rPr>
          <w:rFonts w:hint="eastAsia" w:ascii="Times New Roman" w:hAnsi="Times New Roman"/>
          <w:kern w:val="0"/>
        </w:rPr>
        <w:t>无。</w:t>
      </w:r>
    </w:p>
    <w:p w14:paraId="0716EA1C">
      <w:pPr>
        <w:spacing w:line="480" w:lineRule="auto"/>
        <w:outlineLvl w:val="0"/>
        <w:rPr>
          <w:rFonts w:ascii="Times New Roman" w:hAnsi="Times New Roman" w:eastAsia="黑体"/>
          <w:kern w:val="0"/>
        </w:rPr>
      </w:pPr>
      <w:bookmarkStart w:id="29" w:name="_Toc495476950"/>
      <w:bookmarkStart w:id="30" w:name="_Toc338340183"/>
      <w:bookmarkStart w:id="31" w:name="_Toc497087670"/>
      <w:bookmarkStart w:id="32" w:name="_Toc10462823"/>
      <w:bookmarkStart w:id="33" w:name="_Toc25686"/>
      <w:r>
        <w:rPr>
          <w:rFonts w:hint="eastAsia" w:ascii="Times New Roman" w:hAnsi="Times New Roman" w:eastAsia="黑体"/>
          <w:kern w:val="0"/>
          <w:lang w:val="en-US" w:eastAsia="zh-CN"/>
        </w:rPr>
        <w:t>7</w:t>
      </w:r>
      <w:r>
        <w:rPr>
          <w:rFonts w:hint="eastAsia" w:ascii="Times New Roman" w:hAnsi="Times New Roman" w:eastAsia="黑体"/>
          <w:kern w:val="0"/>
        </w:rPr>
        <w:t xml:space="preserve"> 与</w:t>
      </w:r>
      <w:bookmarkEnd w:id="29"/>
      <w:bookmarkEnd w:id="30"/>
      <w:bookmarkEnd w:id="31"/>
      <w:bookmarkEnd w:id="32"/>
      <w:r>
        <w:rPr>
          <w:rFonts w:hint="eastAsia" w:ascii="Times New Roman" w:hAnsi="Times New Roman" w:eastAsia="黑体"/>
          <w:kern w:val="0"/>
        </w:rPr>
        <w:t>现行法律、法规和标准的关系</w:t>
      </w:r>
      <w:bookmarkEnd w:id="33"/>
    </w:p>
    <w:p w14:paraId="0D868573">
      <w:pPr>
        <w:pStyle w:val="19"/>
        <w:snapToGrid/>
        <w:spacing w:beforeLines="0" w:afterLines="0" w:line="240" w:lineRule="auto"/>
        <w:ind w:firstLine="420"/>
        <w:rPr>
          <w:rFonts w:hint="eastAsia" w:ascii="Times New Roman" w:hAnsi="Times New Roman" w:cstheme="minorBidi"/>
          <w:kern w:val="0"/>
          <w:szCs w:val="22"/>
        </w:rPr>
      </w:pPr>
      <w:bookmarkStart w:id="34" w:name="_Toc341173695"/>
      <w:bookmarkStart w:id="35" w:name="_Toc341174522"/>
      <w:bookmarkStart w:id="36" w:name="_Toc341174419"/>
      <w:bookmarkStart w:id="37" w:name="_Toc341173331"/>
      <w:bookmarkStart w:id="38" w:name="_Toc339983339"/>
      <w:bookmarkStart w:id="39" w:name="_Toc339983443"/>
      <w:bookmarkStart w:id="40" w:name="_Toc217894510"/>
      <w:r>
        <w:rPr>
          <w:rFonts w:hint="eastAsia" w:ascii="Times New Roman" w:hAnsi="Times New Roman" w:cstheme="minorBidi"/>
          <w:kern w:val="0"/>
          <w:szCs w:val="22"/>
        </w:rPr>
        <w:t>本文件与相关技术领域的国家现行法律、法规和标准保持一致。</w:t>
      </w:r>
    </w:p>
    <w:p w14:paraId="525EBDEB">
      <w:pPr>
        <w:pStyle w:val="19"/>
        <w:snapToGrid/>
        <w:spacing w:beforeLines="0" w:afterLines="0" w:line="240" w:lineRule="auto"/>
        <w:ind w:firstLine="420"/>
        <w:rPr>
          <w:rFonts w:hint="default" w:ascii="Times New Roman" w:hAnsi="Times New Roman" w:cstheme="minorBidi"/>
          <w:kern w:val="0"/>
          <w:szCs w:val="22"/>
          <w:lang w:val="en-US" w:eastAsia="zh-CN"/>
        </w:rPr>
      </w:pPr>
      <w:r>
        <w:rPr>
          <w:rFonts w:hint="eastAsia" w:ascii="Times New Roman" w:hAnsi="Times New Roman" w:cstheme="minorBidi"/>
          <w:kern w:val="0"/>
          <w:szCs w:val="22"/>
          <w:lang w:val="en-US" w:eastAsia="zh-CN"/>
        </w:rPr>
        <w:t>本文件规定的关口电能表状态检测与更换要求不替代现有标准中规定的周期检测相关要求，为推荐性标准要求。</w:t>
      </w:r>
    </w:p>
    <w:bookmarkEnd w:id="34"/>
    <w:bookmarkEnd w:id="35"/>
    <w:bookmarkEnd w:id="36"/>
    <w:bookmarkEnd w:id="37"/>
    <w:bookmarkEnd w:id="38"/>
    <w:bookmarkEnd w:id="39"/>
    <w:bookmarkEnd w:id="40"/>
    <w:p w14:paraId="42FABDD0">
      <w:pPr>
        <w:spacing w:line="480" w:lineRule="auto"/>
        <w:outlineLvl w:val="0"/>
        <w:rPr>
          <w:rFonts w:ascii="Times New Roman" w:hAnsi="Times New Roman" w:eastAsia="黑体"/>
          <w:kern w:val="0"/>
        </w:rPr>
      </w:pPr>
      <w:bookmarkStart w:id="41" w:name="_Toc15381"/>
      <w:r>
        <w:rPr>
          <w:rFonts w:hint="eastAsia" w:ascii="Times New Roman" w:hAnsi="Times New Roman" w:eastAsia="黑体"/>
          <w:kern w:val="0"/>
          <w:lang w:val="en-US" w:eastAsia="zh-CN"/>
        </w:rPr>
        <w:t>8</w:t>
      </w:r>
      <w:r>
        <w:rPr>
          <w:rFonts w:ascii="Times New Roman" w:hAnsi="Times New Roman" w:eastAsia="黑体"/>
          <w:kern w:val="0"/>
        </w:rPr>
        <w:t xml:space="preserve"> </w:t>
      </w:r>
      <w:r>
        <w:rPr>
          <w:rFonts w:hint="eastAsia" w:ascii="Times New Roman" w:hAnsi="Times New Roman" w:eastAsia="黑体"/>
          <w:kern w:val="0"/>
        </w:rPr>
        <w:t>推广实施建议</w:t>
      </w:r>
      <w:bookmarkEnd w:id="41"/>
    </w:p>
    <w:p w14:paraId="56A2729B">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本文件规定了</w:t>
      </w:r>
      <w:r>
        <w:rPr>
          <w:rFonts w:hint="eastAsia" w:ascii="Times New Roman"/>
        </w:rPr>
        <w:t>统调上网关口电能表</w:t>
      </w:r>
      <w:r>
        <w:rPr>
          <w:rFonts w:hint="eastAsia" w:ascii="Times New Roman"/>
          <w:lang w:val="en-US" w:eastAsia="zh-CN"/>
        </w:rPr>
        <w:t>运行状态与误差状态评价及其结果处置、更换的</w:t>
      </w:r>
      <w:r>
        <w:rPr>
          <w:rFonts w:hint="eastAsia" w:ascii="Times New Roman" w:hAnsi="Times New Roman" w:cstheme="minorBidi"/>
          <w:kern w:val="0"/>
          <w:szCs w:val="22"/>
        </w:rPr>
        <w:t>技术导则。因此，本文件的使用主体为发电企业、电网企业</w:t>
      </w:r>
      <w:r>
        <w:rPr>
          <w:rFonts w:hint="eastAsia" w:ascii="Times New Roman" w:hAnsi="Times New Roman" w:cstheme="minorBidi"/>
          <w:kern w:val="0"/>
          <w:szCs w:val="22"/>
          <w:lang w:val="en-US" w:eastAsia="zh-CN"/>
        </w:rPr>
        <w:t>和用电客户</w:t>
      </w:r>
      <w:r>
        <w:rPr>
          <w:rFonts w:hint="eastAsia" w:ascii="Times New Roman" w:hAnsi="Times New Roman" w:cstheme="minorBidi"/>
          <w:kern w:val="0"/>
          <w:szCs w:val="22"/>
        </w:rPr>
        <w:t>。</w:t>
      </w:r>
    </w:p>
    <w:p w14:paraId="02B67367">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本文件由江苏省电力标准化技术委员会联合起草单位对文件适用范围相关主体进行条文解读，对文件适用场景进行宣贯并推广应用。</w:t>
      </w:r>
    </w:p>
    <w:p w14:paraId="16072904">
      <w:pPr>
        <w:spacing w:line="480" w:lineRule="auto"/>
        <w:outlineLvl w:val="0"/>
        <w:rPr>
          <w:rFonts w:ascii="Times New Roman" w:hAnsi="Times New Roman" w:eastAsia="黑体"/>
          <w:kern w:val="0"/>
        </w:rPr>
      </w:pPr>
      <w:bookmarkStart w:id="42" w:name="_Toc31294"/>
      <w:r>
        <w:rPr>
          <w:rFonts w:hint="eastAsia" w:ascii="Times New Roman" w:hAnsi="Times New Roman" w:eastAsia="黑体"/>
          <w:kern w:val="0"/>
          <w:lang w:val="en-US" w:eastAsia="zh-CN"/>
        </w:rPr>
        <w:t>9</w:t>
      </w:r>
      <w:r>
        <w:rPr>
          <w:rFonts w:ascii="Times New Roman" w:hAnsi="Times New Roman" w:eastAsia="黑体"/>
          <w:kern w:val="0"/>
        </w:rPr>
        <w:t xml:space="preserve"> </w:t>
      </w:r>
      <w:r>
        <w:rPr>
          <w:rFonts w:hint="eastAsia" w:ascii="Times New Roman" w:hAnsi="Times New Roman" w:eastAsia="黑体"/>
          <w:kern w:val="0"/>
        </w:rPr>
        <w:t>起草单位和起草人员信息及分工</w:t>
      </w:r>
      <w:bookmarkEnd w:id="42"/>
    </w:p>
    <w:p w14:paraId="6D305073">
      <w:pPr>
        <w:pStyle w:val="19"/>
        <w:spacing w:before="78" w:after="78"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起草单位：国网江苏省电力有限公司营销服务中心、南京市计量监督检测院、国网江苏省电力有限公司、宁波三星医疗电气股份有限公司、江苏方天电力技术有限公司、国网江苏省电力有限公司常州供电分公司、国网江苏省电力有限公司无锡供电分公司、南京丹迪克电力仪表有限公司、江苏镇江燃气热电有限公司、南京化学工业园热电有限公司。</w:t>
      </w:r>
    </w:p>
    <w:p w14:paraId="5C81F869">
      <w:pPr>
        <w:pStyle w:val="19"/>
        <w:snapToGrid/>
        <w:spacing w:beforeLines="0" w:afterLines="0" w:line="240" w:lineRule="auto"/>
        <w:ind w:firstLine="420"/>
        <w:rPr>
          <w:rFonts w:ascii="Times New Roman" w:hAnsi="Times New Roman" w:cstheme="minorBidi"/>
          <w:kern w:val="0"/>
          <w:szCs w:val="22"/>
        </w:rPr>
      </w:pPr>
      <w:r>
        <w:rPr>
          <w:rFonts w:hint="eastAsia" w:ascii="Times New Roman" w:hAnsi="Times New Roman" w:cstheme="minorBidi"/>
          <w:kern w:val="0"/>
          <w:szCs w:val="22"/>
        </w:rPr>
        <w:t>本文件主要起草人：</w:t>
      </w:r>
      <w:r>
        <w:rPr>
          <w:rFonts w:hint="eastAsia" w:ascii="Times New Roman"/>
          <w:lang w:val="en-US" w:eastAsia="zh-CN"/>
        </w:rPr>
        <w:t>陆子刚、许道强、卢树峰、张健、李志新、王忠东、金海波、马云龙、欧阳曾恺、黄天超、李嘉奕、顾红波、丁毅、霍政界、常晓浩、周广云、聂荣乐。</w:t>
      </w:r>
    </w:p>
    <w:p w14:paraId="079FB694">
      <w:pPr>
        <w:pStyle w:val="15"/>
        <w:spacing w:before="0" w:beforeLines="0" w:after="0" w:afterLines="0"/>
        <w:ind w:left="0"/>
        <w:rPr>
          <w:rFonts w:ascii="Times New Roman"/>
        </w:rPr>
      </w:pPr>
      <w:r>
        <w:rPr>
          <w:rFonts w:hint="eastAsia" w:ascii="Times New Roman"/>
        </w:rPr>
        <w:t>起草单位和起草人员信息及分工</w:t>
      </w:r>
    </w:p>
    <w:tbl>
      <w:tblPr>
        <w:tblStyle w:val="9"/>
        <w:tblW w:w="499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770"/>
        <w:gridCol w:w="4202"/>
        <w:gridCol w:w="1686"/>
        <w:gridCol w:w="3290"/>
      </w:tblGrid>
      <w:tr w14:paraId="7BF270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461750CD">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序号</w:t>
            </w:r>
          </w:p>
        </w:tc>
        <w:tc>
          <w:tcPr>
            <w:tcW w:w="2111" w:type="pct"/>
            <w:shd w:val="clear" w:color="auto" w:fill="FFFFFF"/>
            <w:vAlign w:val="center"/>
          </w:tcPr>
          <w:p w14:paraId="229A093F">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起草单位</w:t>
            </w:r>
          </w:p>
        </w:tc>
        <w:tc>
          <w:tcPr>
            <w:tcW w:w="847" w:type="pct"/>
            <w:shd w:val="clear" w:color="auto" w:fill="FFFFFF"/>
            <w:vAlign w:val="center"/>
          </w:tcPr>
          <w:p w14:paraId="0AFA6E44">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人员</w:t>
            </w:r>
          </w:p>
        </w:tc>
        <w:tc>
          <w:tcPr>
            <w:tcW w:w="1653" w:type="pct"/>
            <w:shd w:val="clear" w:color="auto" w:fill="FFFFFF"/>
            <w:vAlign w:val="center"/>
          </w:tcPr>
          <w:p w14:paraId="0E4F0856">
            <w:pPr>
              <w:snapToGrid w:val="0"/>
              <w:spacing w:line="240" w:lineRule="auto"/>
              <w:jc w:val="center"/>
              <w:rPr>
                <w:rFonts w:ascii="Times New Roman" w:hAnsi="Times New Roman" w:cs="黑体"/>
                <w:color w:val="000000"/>
                <w:kern w:val="0"/>
                <w:sz w:val="18"/>
                <w:szCs w:val="18"/>
              </w:rPr>
            </w:pPr>
            <w:r>
              <w:rPr>
                <w:rFonts w:hint="eastAsia" w:ascii="Times New Roman" w:hAnsi="Times New Roman" w:cs="黑体"/>
                <w:color w:val="000000"/>
                <w:kern w:val="0"/>
                <w:sz w:val="18"/>
                <w:szCs w:val="18"/>
              </w:rPr>
              <w:t>分工</w:t>
            </w:r>
          </w:p>
        </w:tc>
      </w:tr>
      <w:tr w14:paraId="4CEB4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restart"/>
            <w:shd w:val="clear" w:color="auto" w:fill="FFFFFF"/>
            <w:vAlign w:val="center"/>
          </w:tcPr>
          <w:p w14:paraId="258E0C77">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1</w:t>
            </w:r>
          </w:p>
        </w:tc>
        <w:tc>
          <w:tcPr>
            <w:tcW w:w="2111" w:type="pct"/>
            <w:vMerge w:val="restart"/>
            <w:shd w:val="clear" w:color="auto" w:fill="FFFFFF"/>
            <w:vAlign w:val="center"/>
          </w:tcPr>
          <w:p w14:paraId="0432AE04">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国网江苏省电力有限公司营销服务中心</w:t>
            </w:r>
          </w:p>
        </w:tc>
        <w:tc>
          <w:tcPr>
            <w:tcW w:w="847" w:type="pct"/>
            <w:shd w:val="clear" w:color="auto" w:fill="FFFFFF"/>
            <w:vAlign w:val="center"/>
          </w:tcPr>
          <w:p w14:paraId="2A07F6DF">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陆子刚</w:t>
            </w:r>
          </w:p>
        </w:tc>
        <w:tc>
          <w:tcPr>
            <w:tcW w:w="1653" w:type="pct"/>
            <w:shd w:val="clear" w:color="auto" w:fill="FFFFFF"/>
            <w:vAlign w:val="center"/>
          </w:tcPr>
          <w:p w14:paraId="07E55B60">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总体负责，统稿人，编写</w:t>
            </w:r>
            <w:r>
              <w:rPr>
                <w:rFonts w:hint="eastAsia" w:ascii="Times New Roman" w:hAnsi="Times New Roman" w:cs="宋体"/>
                <w:color w:val="000000"/>
                <w:kern w:val="0"/>
                <w:sz w:val="18"/>
                <w:szCs w:val="18"/>
                <w:lang w:val="en-US" w:eastAsia="zh-CN"/>
              </w:rPr>
              <w:t>第4-7章，</w:t>
            </w:r>
            <w:r>
              <w:rPr>
                <w:rFonts w:hint="eastAsia" w:ascii="Times New Roman" w:hAnsi="Times New Roman" w:cs="宋体"/>
                <w:color w:val="000000"/>
                <w:kern w:val="0"/>
                <w:sz w:val="18"/>
                <w:szCs w:val="18"/>
              </w:rPr>
              <w:t>校核全文</w:t>
            </w:r>
          </w:p>
        </w:tc>
      </w:tr>
      <w:tr w14:paraId="132B0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continue"/>
            <w:shd w:val="clear" w:color="auto" w:fill="FFFFFF"/>
            <w:vAlign w:val="center"/>
          </w:tcPr>
          <w:p w14:paraId="05DF0D0A">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614BB2C8">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53787464">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卢树峰</w:t>
            </w:r>
          </w:p>
        </w:tc>
        <w:tc>
          <w:tcPr>
            <w:tcW w:w="1653" w:type="pct"/>
            <w:shd w:val="clear" w:color="auto" w:fill="FFFFFF"/>
            <w:vAlign w:val="center"/>
          </w:tcPr>
          <w:p w14:paraId="40632CD8">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rPr>
              <w:t>标准框架指导</w:t>
            </w:r>
            <w:r>
              <w:rPr>
                <w:rFonts w:hint="eastAsia" w:ascii="Times New Roman" w:hAnsi="Times New Roman" w:cs="宋体"/>
                <w:color w:val="000000"/>
                <w:kern w:val="0"/>
                <w:sz w:val="18"/>
                <w:szCs w:val="18"/>
                <w:lang w:eastAsia="zh-CN"/>
              </w:rPr>
              <w:t>，</w:t>
            </w:r>
            <w:r>
              <w:rPr>
                <w:rFonts w:hint="eastAsia" w:ascii="Times New Roman" w:hAnsi="Times New Roman" w:cs="宋体"/>
                <w:color w:val="000000"/>
                <w:kern w:val="0"/>
                <w:sz w:val="18"/>
                <w:szCs w:val="18"/>
              </w:rPr>
              <w:t>组织协调</w:t>
            </w:r>
          </w:p>
        </w:tc>
      </w:tr>
      <w:tr w14:paraId="3D0FE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continue"/>
            <w:shd w:val="clear" w:color="auto" w:fill="FFFFFF"/>
            <w:vAlign w:val="center"/>
          </w:tcPr>
          <w:p w14:paraId="0F197BFD">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62665F65">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1BECE902">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李志新</w:t>
            </w:r>
          </w:p>
        </w:tc>
        <w:tc>
          <w:tcPr>
            <w:tcW w:w="1653" w:type="pct"/>
            <w:shd w:val="clear" w:color="auto" w:fill="FFFFFF"/>
            <w:vAlign w:val="center"/>
          </w:tcPr>
          <w:p w14:paraId="09F04F41">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标准第</w:t>
            </w:r>
            <w:r>
              <w:rPr>
                <w:rFonts w:hint="eastAsia" w:ascii="Times New Roman" w:hAnsi="Times New Roman" w:cs="宋体"/>
                <w:color w:val="000000"/>
                <w:kern w:val="0"/>
                <w:sz w:val="18"/>
                <w:szCs w:val="18"/>
                <w:lang w:val="en-US" w:eastAsia="zh-CN"/>
              </w:rPr>
              <w:t>4-7</w:t>
            </w:r>
            <w:r>
              <w:rPr>
                <w:rFonts w:hint="eastAsia" w:ascii="Times New Roman" w:hAnsi="Times New Roman" w:cs="宋体"/>
                <w:color w:val="000000"/>
                <w:kern w:val="0"/>
                <w:sz w:val="18"/>
                <w:szCs w:val="18"/>
              </w:rPr>
              <w:t>章技术指导</w:t>
            </w:r>
          </w:p>
        </w:tc>
      </w:tr>
      <w:tr w14:paraId="1DB46C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83" w:hRule="atLeast"/>
          <w:jc w:val="center"/>
        </w:trPr>
        <w:tc>
          <w:tcPr>
            <w:tcW w:w="387" w:type="pct"/>
            <w:vMerge w:val="continue"/>
            <w:shd w:val="clear" w:color="auto" w:fill="FFFFFF"/>
            <w:vAlign w:val="center"/>
          </w:tcPr>
          <w:p w14:paraId="532B9ED4">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0B050097">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15D48CD7">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王忠东</w:t>
            </w:r>
          </w:p>
        </w:tc>
        <w:tc>
          <w:tcPr>
            <w:tcW w:w="1653" w:type="pct"/>
            <w:shd w:val="clear" w:color="auto" w:fill="FFFFFF"/>
            <w:vAlign w:val="center"/>
          </w:tcPr>
          <w:p w14:paraId="455BE732">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w:t>
            </w:r>
            <w:r>
              <w:rPr>
                <w:rFonts w:hint="eastAsia" w:ascii="Times New Roman" w:hAnsi="Times New Roman" w:cs="宋体"/>
                <w:color w:val="000000"/>
                <w:kern w:val="0"/>
                <w:sz w:val="18"/>
                <w:szCs w:val="18"/>
                <w:lang w:val="en-US" w:eastAsia="zh-CN"/>
              </w:rPr>
              <w:t>技术及</w:t>
            </w:r>
            <w:r>
              <w:rPr>
                <w:rFonts w:hint="eastAsia" w:ascii="Times New Roman" w:hAnsi="Times New Roman" w:cs="宋体"/>
                <w:color w:val="000000"/>
                <w:kern w:val="0"/>
                <w:sz w:val="18"/>
                <w:szCs w:val="18"/>
              </w:rPr>
              <w:t>编写规范性指导</w:t>
            </w:r>
          </w:p>
        </w:tc>
      </w:tr>
      <w:tr w14:paraId="5C8F4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continue"/>
            <w:shd w:val="clear" w:color="auto" w:fill="FFFFFF"/>
            <w:vAlign w:val="center"/>
          </w:tcPr>
          <w:p w14:paraId="72DB92B8">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013F8677">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1EB98B80">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欧阳曾恺</w:t>
            </w:r>
          </w:p>
        </w:tc>
        <w:tc>
          <w:tcPr>
            <w:tcW w:w="1653" w:type="pct"/>
            <w:shd w:val="clear" w:color="auto" w:fill="FFFFFF"/>
            <w:vAlign w:val="center"/>
          </w:tcPr>
          <w:p w14:paraId="7146E6BC">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辅助编写第</w:t>
            </w:r>
            <w:r>
              <w:rPr>
                <w:rFonts w:hint="eastAsia" w:ascii="Times New Roman" w:hAnsi="Times New Roman" w:cs="宋体"/>
                <w:color w:val="000000"/>
                <w:kern w:val="0"/>
                <w:sz w:val="18"/>
                <w:szCs w:val="18"/>
                <w:lang w:val="en-US" w:eastAsia="zh-CN"/>
              </w:rPr>
              <w:t>4</w:t>
            </w:r>
            <w:r>
              <w:rPr>
                <w:rFonts w:hint="eastAsia" w:ascii="Times New Roman" w:hAnsi="Times New Roman" w:cs="宋体"/>
                <w:color w:val="000000"/>
                <w:kern w:val="0"/>
                <w:sz w:val="18"/>
                <w:szCs w:val="18"/>
              </w:rPr>
              <w:t>章，校核全文</w:t>
            </w:r>
          </w:p>
        </w:tc>
      </w:tr>
      <w:tr w14:paraId="183E5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8" w:hRule="atLeast"/>
          <w:jc w:val="center"/>
        </w:trPr>
        <w:tc>
          <w:tcPr>
            <w:tcW w:w="387" w:type="pct"/>
            <w:vMerge w:val="continue"/>
            <w:shd w:val="clear" w:color="auto" w:fill="FFFFFF"/>
            <w:vAlign w:val="center"/>
          </w:tcPr>
          <w:p w14:paraId="3DC73D07">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0632D809">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65AFFE0E">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黄天超</w:t>
            </w:r>
          </w:p>
        </w:tc>
        <w:tc>
          <w:tcPr>
            <w:tcW w:w="1653" w:type="pct"/>
            <w:shd w:val="clear" w:color="auto" w:fill="FFFFFF"/>
            <w:vAlign w:val="center"/>
          </w:tcPr>
          <w:p w14:paraId="66A0D02C">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编写</w:t>
            </w:r>
            <w:r>
              <w:rPr>
                <w:rFonts w:hint="eastAsia" w:ascii="Times New Roman" w:hAnsi="Times New Roman" w:cs="宋体"/>
                <w:color w:val="000000"/>
                <w:kern w:val="0"/>
                <w:sz w:val="18"/>
                <w:szCs w:val="18"/>
                <w:lang w:val="en-US" w:eastAsia="zh-CN"/>
              </w:rPr>
              <w:t>第1-2章</w:t>
            </w:r>
          </w:p>
        </w:tc>
      </w:tr>
      <w:tr w14:paraId="23B6C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8" w:hRule="atLeast"/>
          <w:jc w:val="center"/>
        </w:trPr>
        <w:tc>
          <w:tcPr>
            <w:tcW w:w="387" w:type="pct"/>
            <w:shd w:val="clear" w:color="auto" w:fill="FFFFFF"/>
            <w:vAlign w:val="center"/>
          </w:tcPr>
          <w:p w14:paraId="6350EE60">
            <w:pPr>
              <w:snapToGrid w:val="0"/>
              <w:spacing w:line="240" w:lineRule="auto"/>
              <w:jc w:val="center"/>
              <w:rPr>
                <w:rFonts w:hint="eastAsia"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lang w:val="en-US" w:eastAsia="zh-CN"/>
              </w:rPr>
              <w:t>2</w:t>
            </w:r>
          </w:p>
        </w:tc>
        <w:tc>
          <w:tcPr>
            <w:tcW w:w="2111" w:type="pct"/>
            <w:shd w:val="clear" w:color="auto" w:fill="FFFFFF"/>
            <w:vAlign w:val="center"/>
          </w:tcPr>
          <w:p w14:paraId="18A27894">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南京市计量监督检测院、</w:t>
            </w:r>
          </w:p>
        </w:tc>
        <w:tc>
          <w:tcPr>
            <w:tcW w:w="847" w:type="pct"/>
            <w:shd w:val="clear" w:color="auto" w:fill="FFFFFF"/>
            <w:vAlign w:val="center"/>
          </w:tcPr>
          <w:p w14:paraId="2846A7F9">
            <w:pPr>
              <w:snapToGrid w:val="0"/>
              <w:spacing w:line="240" w:lineRule="auto"/>
              <w:jc w:val="center"/>
              <w:rPr>
                <w:rFonts w:hint="default"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lang w:val="en-US" w:eastAsia="zh-CN"/>
              </w:rPr>
              <w:t>张健</w:t>
            </w:r>
          </w:p>
        </w:tc>
        <w:tc>
          <w:tcPr>
            <w:tcW w:w="1653" w:type="pct"/>
            <w:shd w:val="clear" w:color="auto" w:fill="FFFFFF"/>
            <w:vAlign w:val="center"/>
          </w:tcPr>
          <w:p w14:paraId="2A194CD6">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辅助编写第</w:t>
            </w:r>
            <w:r>
              <w:rPr>
                <w:rFonts w:hint="eastAsia" w:ascii="Times New Roman" w:hAnsi="Times New Roman" w:cs="宋体"/>
                <w:color w:val="000000"/>
                <w:kern w:val="0"/>
                <w:sz w:val="18"/>
                <w:szCs w:val="18"/>
                <w:lang w:val="en-US" w:eastAsia="zh-CN"/>
              </w:rPr>
              <w:t>5</w:t>
            </w:r>
            <w:r>
              <w:rPr>
                <w:rFonts w:hint="eastAsia" w:ascii="Times New Roman" w:hAnsi="Times New Roman" w:cs="宋体"/>
                <w:color w:val="000000"/>
                <w:kern w:val="0"/>
                <w:sz w:val="18"/>
                <w:szCs w:val="18"/>
              </w:rPr>
              <w:t>章，标准框架指导</w:t>
            </w:r>
          </w:p>
        </w:tc>
      </w:tr>
      <w:tr w14:paraId="65DAFA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restart"/>
            <w:shd w:val="clear" w:color="auto" w:fill="FFFFFF"/>
            <w:vAlign w:val="center"/>
          </w:tcPr>
          <w:p w14:paraId="3F005233">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3</w:t>
            </w:r>
          </w:p>
        </w:tc>
        <w:tc>
          <w:tcPr>
            <w:tcW w:w="2111" w:type="pct"/>
            <w:vMerge w:val="restart"/>
            <w:shd w:val="clear" w:color="auto" w:fill="FFFFFF"/>
            <w:vAlign w:val="center"/>
          </w:tcPr>
          <w:p w14:paraId="785F1105">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w:t>
            </w:r>
          </w:p>
        </w:tc>
        <w:tc>
          <w:tcPr>
            <w:tcW w:w="847" w:type="pct"/>
            <w:shd w:val="clear" w:color="auto" w:fill="FFFFFF"/>
            <w:vAlign w:val="center"/>
          </w:tcPr>
          <w:p w14:paraId="1BE885AB">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许道强</w:t>
            </w:r>
          </w:p>
        </w:tc>
        <w:tc>
          <w:tcPr>
            <w:tcW w:w="1653" w:type="pct"/>
            <w:shd w:val="clear" w:color="auto" w:fill="FFFFFF"/>
            <w:vAlign w:val="center"/>
          </w:tcPr>
          <w:p w14:paraId="58D23741">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标准框架指导</w:t>
            </w:r>
          </w:p>
        </w:tc>
      </w:tr>
      <w:tr w14:paraId="08419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continue"/>
            <w:shd w:val="clear" w:color="auto" w:fill="FFFFFF"/>
            <w:vAlign w:val="center"/>
          </w:tcPr>
          <w:p w14:paraId="20F30893">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2EFC9EB3">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34BD5A40">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马云龙</w:t>
            </w:r>
          </w:p>
        </w:tc>
        <w:tc>
          <w:tcPr>
            <w:tcW w:w="1653" w:type="pct"/>
            <w:shd w:val="clear" w:color="auto" w:fill="FFFFFF"/>
            <w:vAlign w:val="center"/>
          </w:tcPr>
          <w:p w14:paraId="08AEA849">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rPr>
              <w:t>标准框架指导</w:t>
            </w:r>
            <w:r>
              <w:rPr>
                <w:rFonts w:hint="eastAsia" w:ascii="Times New Roman" w:hAnsi="Times New Roman" w:cs="宋体"/>
                <w:color w:val="000000"/>
                <w:kern w:val="0"/>
                <w:sz w:val="18"/>
                <w:szCs w:val="18"/>
                <w:lang w:eastAsia="zh-CN"/>
              </w:rPr>
              <w:t>，</w:t>
            </w:r>
            <w:r>
              <w:rPr>
                <w:rFonts w:hint="eastAsia" w:ascii="Times New Roman" w:hAnsi="Times New Roman" w:cs="宋体"/>
                <w:color w:val="000000"/>
                <w:kern w:val="0"/>
                <w:sz w:val="18"/>
                <w:szCs w:val="18"/>
              </w:rPr>
              <w:t>组织协调</w:t>
            </w:r>
          </w:p>
        </w:tc>
      </w:tr>
      <w:tr w14:paraId="0C51D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vMerge w:val="continue"/>
            <w:shd w:val="clear" w:color="auto" w:fill="FFFFFF"/>
            <w:vAlign w:val="center"/>
          </w:tcPr>
          <w:p w14:paraId="104EB56F">
            <w:pPr>
              <w:snapToGrid w:val="0"/>
              <w:spacing w:line="240" w:lineRule="auto"/>
              <w:jc w:val="center"/>
              <w:rPr>
                <w:rFonts w:ascii="Times New Roman" w:hAnsi="Times New Roman" w:cs="宋体"/>
                <w:color w:val="000000"/>
                <w:kern w:val="0"/>
                <w:sz w:val="18"/>
                <w:szCs w:val="18"/>
              </w:rPr>
            </w:pPr>
          </w:p>
        </w:tc>
        <w:tc>
          <w:tcPr>
            <w:tcW w:w="2111" w:type="pct"/>
            <w:vMerge w:val="continue"/>
            <w:shd w:val="clear" w:color="auto" w:fill="FFFFFF"/>
            <w:vAlign w:val="center"/>
          </w:tcPr>
          <w:p w14:paraId="3624A253">
            <w:pPr>
              <w:snapToGrid w:val="0"/>
              <w:spacing w:line="240" w:lineRule="auto"/>
              <w:jc w:val="center"/>
              <w:rPr>
                <w:rFonts w:ascii="Times New Roman" w:hAnsi="Times New Roman" w:cs="宋体"/>
                <w:color w:val="000000"/>
                <w:kern w:val="0"/>
                <w:sz w:val="18"/>
                <w:szCs w:val="18"/>
              </w:rPr>
            </w:pPr>
          </w:p>
        </w:tc>
        <w:tc>
          <w:tcPr>
            <w:tcW w:w="847" w:type="pct"/>
            <w:shd w:val="clear" w:color="auto" w:fill="FFFFFF"/>
            <w:vAlign w:val="center"/>
          </w:tcPr>
          <w:p w14:paraId="4C5CD429">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李嘉奕</w:t>
            </w:r>
          </w:p>
        </w:tc>
        <w:tc>
          <w:tcPr>
            <w:tcW w:w="1653" w:type="pct"/>
            <w:shd w:val="clear" w:color="auto" w:fill="FFFFFF"/>
            <w:vAlign w:val="center"/>
          </w:tcPr>
          <w:p w14:paraId="600C70BA">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辅助校核全文</w:t>
            </w:r>
          </w:p>
        </w:tc>
      </w:tr>
      <w:tr w14:paraId="04747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2" w:hRule="atLeast"/>
          <w:jc w:val="center"/>
        </w:trPr>
        <w:tc>
          <w:tcPr>
            <w:tcW w:w="387" w:type="pct"/>
            <w:shd w:val="clear" w:color="auto" w:fill="FFFFFF"/>
            <w:vAlign w:val="center"/>
          </w:tcPr>
          <w:p w14:paraId="030B2D0E">
            <w:pPr>
              <w:snapToGrid w:val="0"/>
              <w:spacing w:line="240" w:lineRule="auto"/>
              <w:jc w:val="center"/>
              <w:rPr>
                <w:rFonts w:hint="eastAsia"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lang w:val="en-US" w:eastAsia="zh-CN"/>
              </w:rPr>
              <w:t>4</w:t>
            </w:r>
          </w:p>
        </w:tc>
        <w:tc>
          <w:tcPr>
            <w:tcW w:w="2111" w:type="pct"/>
            <w:shd w:val="clear" w:color="auto" w:fill="FFFFFF"/>
            <w:vAlign w:val="center"/>
          </w:tcPr>
          <w:p w14:paraId="7BA32F64">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宁波三星医疗电气股份有限公司</w:t>
            </w:r>
          </w:p>
        </w:tc>
        <w:tc>
          <w:tcPr>
            <w:tcW w:w="847" w:type="pct"/>
            <w:shd w:val="clear" w:color="auto" w:fill="FFFFFF"/>
            <w:vAlign w:val="center"/>
          </w:tcPr>
          <w:p w14:paraId="3083E83A">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金海波</w:t>
            </w:r>
          </w:p>
        </w:tc>
        <w:tc>
          <w:tcPr>
            <w:tcW w:w="1653" w:type="pct"/>
            <w:shd w:val="clear" w:color="auto" w:fill="FFFFFF"/>
            <w:vAlign w:val="center"/>
          </w:tcPr>
          <w:p w14:paraId="41442786">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ascii="Times New Roman" w:hAnsi="Times New Roman" w:cs="宋体"/>
                <w:color w:val="000000"/>
                <w:kern w:val="0"/>
                <w:sz w:val="18"/>
                <w:szCs w:val="18"/>
              </w:rPr>
              <w:t>4</w:t>
            </w:r>
            <w:r>
              <w:rPr>
                <w:rFonts w:hint="eastAsia" w:ascii="Times New Roman" w:hAnsi="Times New Roman" w:cs="宋体"/>
                <w:color w:val="000000"/>
                <w:kern w:val="0"/>
                <w:sz w:val="18"/>
                <w:szCs w:val="18"/>
                <w:lang w:val="en-US" w:eastAsia="zh-CN"/>
              </w:rPr>
              <w:t>-5</w:t>
            </w:r>
            <w:r>
              <w:rPr>
                <w:rFonts w:hint="eastAsia" w:ascii="Times New Roman" w:hAnsi="Times New Roman" w:cs="宋体"/>
                <w:color w:val="000000"/>
                <w:kern w:val="0"/>
                <w:sz w:val="18"/>
                <w:szCs w:val="18"/>
              </w:rPr>
              <w:t>章技术指导</w:t>
            </w:r>
          </w:p>
        </w:tc>
      </w:tr>
      <w:tr w14:paraId="3EDB3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0CE1C9FA">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5</w:t>
            </w:r>
          </w:p>
        </w:tc>
        <w:tc>
          <w:tcPr>
            <w:tcW w:w="2111" w:type="pct"/>
            <w:shd w:val="clear" w:color="auto" w:fill="FFFFFF"/>
            <w:vAlign w:val="center"/>
          </w:tcPr>
          <w:p w14:paraId="02DF82FD">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江苏方天电力技术有限公司</w:t>
            </w:r>
          </w:p>
        </w:tc>
        <w:tc>
          <w:tcPr>
            <w:tcW w:w="847" w:type="pct"/>
            <w:shd w:val="clear" w:color="auto" w:fill="FFFFFF"/>
            <w:vAlign w:val="center"/>
          </w:tcPr>
          <w:p w14:paraId="05B64F0A">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丁毅</w:t>
            </w:r>
          </w:p>
        </w:tc>
        <w:tc>
          <w:tcPr>
            <w:tcW w:w="1653" w:type="pct"/>
            <w:shd w:val="clear" w:color="auto" w:fill="FFFFFF"/>
            <w:vAlign w:val="center"/>
          </w:tcPr>
          <w:p w14:paraId="165EBAEF">
            <w:pPr>
              <w:snapToGrid w:val="0"/>
              <w:spacing w:line="240" w:lineRule="auto"/>
              <w:jc w:val="center"/>
              <w:rPr>
                <w:rFonts w:hint="default"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4</w:t>
            </w:r>
            <w:r>
              <w:rPr>
                <w:rFonts w:hint="eastAsia" w:ascii="Times New Roman" w:hAnsi="Times New Roman" w:cs="宋体"/>
                <w:color w:val="000000"/>
                <w:kern w:val="0"/>
                <w:sz w:val="18"/>
                <w:szCs w:val="18"/>
              </w:rPr>
              <w:t>章技术指导</w:t>
            </w:r>
            <w:r>
              <w:rPr>
                <w:rFonts w:hint="eastAsia" w:ascii="Times New Roman" w:hAnsi="Times New Roman" w:cs="宋体"/>
                <w:color w:val="000000"/>
                <w:kern w:val="0"/>
                <w:sz w:val="18"/>
                <w:szCs w:val="18"/>
                <w:lang w:val="en-US" w:eastAsia="zh-CN"/>
              </w:rPr>
              <w:t>和辅助校核</w:t>
            </w:r>
          </w:p>
        </w:tc>
      </w:tr>
      <w:tr w14:paraId="41FD6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17DFF326">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6</w:t>
            </w:r>
          </w:p>
        </w:tc>
        <w:tc>
          <w:tcPr>
            <w:tcW w:w="2111" w:type="pct"/>
            <w:shd w:val="clear" w:color="auto" w:fill="FFFFFF"/>
            <w:vAlign w:val="center"/>
          </w:tcPr>
          <w:p w14:paraId="76BE40EA">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国网江苏省电力有限公司常州供电分公司</w:t>
            </w:r>
          </w:p>
        </w:tc>
        <w:tc>
          <w:tcPr>
            <w:tcW w:w="847" w:type="pct"/>
            <w:shd w:val="clear" w:color="auto" w:fill="FFFFFF"/>
            <w:vAlign w:val="center"/>
          </w:tcPr>
          <w:p w14:paraId="28D5E6D0">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霍政界</w:t>
            </w:r>
          </w:p>
        </w:tc>
        <w:tc>
          <w:tcPr>
            <w:tcW w:w="1653" w:type="pct"/>
            <w:shd w:val="clear" w:color="auto" w:fill="FFFFFF"/>
            <w:vAlign w:val="center"/>
          </w:tcPr>
          <w:p w14:paraId="7488A980">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6-7</w:t>
            </w:r>
            <w:r>
              <w:rPr>
                <w:rFonts w:hint="eastAsia" w:ascii="Times New Roman" w:hAnsi="Times New Roman" w:cs="宋体"/>
                <w:color w:val="000000"/>
                <w:kern w:val="0"/>
                <w:sz w:val="18"/>
                <w:szCs w:val="18"/>
              </w:rPr>
              <w:t>章技术指导</w:t>
            </w:r>
          </w:p>
        </w:tc>
      </w:tr>
      <w:tr w14:paraId="5D462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004BF6B0">
            <w:pPr>
              <w:snapToGrid w:val="0"/>
              <w:spacing w:line="240" w:lineRule="auto"/>
              <w:jc w:val="center"/>
              <w:rPr>
                <w:rFonts w:hint="default" w:ascii="Times New Roman" w:hAnsi="Times New Roman" w:cs="宋体"/>
                <w:color w:val="000000"/>
                <w:kern w:val="0"/>
                <w:sz w:val="18"/>
                <w:szCs w:val="18"/>
                <w:lang w:val="en-US" w:eastAsia="zh-CN"/>
              </w:rPr>
            </w:pPr>
            <w:r>
              <w:rPr>
                <w:rFonts w:hint="eastAsia" w:ascii="Times New Roman" w:hAnsi="Times New Roman" w:cs="宋体"/>
                <w:color w:val="000000"/>
                <w:kern w:val="0"/>
                <w:sz w:val="18"/>
                <w:szCs w:val="18"/>
                <w:lang w:val="en-US" w:eastAsia="zh-CN"/>
              </w:rPr>
              <w:t>7</w:t>
            </w:r>
          </w:p>
        </w:tc>
        <w:tc>
          <w:tcPr>
            <w:tcW w:w="2111" w:type="pct"/>
            <w:shd w:val="clear" w:color="auto" w:fill="FFFFFF"/>
            <w:vAlign w:val="center"/>
          </w:tcPr>
          <w:p w14:paraId="2C09532B">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国网江苏省电力有限公司</w:t>
            </w:r>
            <w:r>
              <w:rPr>
                <w:rFonts w:hint="eastAsia" w:ascii="Times New Roman" w:hAnsi="Times New Roman" w:cs="宋体"/>
                <w:color w:val="000000"/>
                <w:kern w:val="0"/>
                <w:sz w:val="18"/>
                <w:szCs w:val="18"/>
                <w:lang w:val="en-US" w:eastAsia="zh-CN"/>
              </w:rPr>
              <w:t>无锡</w:t>
            </w:r>
            <w:r>
              <w:rPr>
                <w:rFonts w:hint="eastAsia" w:ascii="Times New Roman" w:hAnsi="Times New Roman" w:cs="宋体"/>
                <w:color w:val="000000"/>
                <w:kern w:val="0"/>
                <w:sz w:val="18"/>
                <w:szCs w:val="18"/>
              </w:rPr>
              <w:t>供电分公司</w:t>
            </w:r>
          </w:p>
        </w:tc>
        <w:tc>
          <w:tcPr>
            <w:tcW w:w="847" w:type="pct"/>
            <w:shd w:val="clear" w:color="auto" w:fill="FFFFFF"/>
            <w:vAlign w:val="center"/>
          </w:tcPr>
          <w:p w14:paraId="61F411C3">
            <w:pPr>
              <w:snapToGrid w:val="0"/>
              <w:spacing w:line="240" w:lineRule="auto"/>
              <w:jc w:val="center"/>
              <w:rPr>
                <w:rFonts w:hint="default"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lang w:val="en-US" w:eastAsia="zh-CN"/>
              </w:rPr>
              <w:t>常晓浩</w:t>
            </w:r>
          </w:p>
        </w:tc>
        <w:tc>
          <w:tcPr>
            <w:tcW w:w="1653" w:type="pct"/>
            <w:shd w:val="clear" w:color="auto" w:fill="FFFFFF"/>
            <w:vAlign w:val="center"/>
          </w:tcPr>
          <w:p w14:paraId="3A8A0EC8">
            <w:pPr>
              <w:snapToGrid w:val="0"/>
              <w:spacing w:line="240" w:lineRule="auto"/>
              <w:jc w:val="center"/>
              <w:rPr>
                <w:rFonts w:hint="eastAsia"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6-7</w:t>
            </w:r>
            <w:r>
              <w:rPr>
                <w:rFonts w:hint="eastAsia" w:ascii="Times New Roman" w:hAnsi="Times New Roman" w:cs="宋体"/>
                <w:color w:val="000000"/>
                <w:kern w:val="0"/>
                <w:sz w:val="18"/>
                <w:szCs w:val="18"/>
              </w:rPr>
              <w:t>章技术指导</w:t>
            </w:r>
          </w:p>
        </w:tc>
      </w:tr>
      <w:tr w14:paraId="4684F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242A7A06">
            <w:pPr>
              <w:snapToGrid w:val="0"/>
              <w:spacing w:line="240" w:lineRule="auto"/>
              <w:jc w:val="center"/>
              <w:rPr>
                <w:rFonts w:hint="eastAsia" w:ascii="Times New Roman" w:hAnsi="Times New Roman" w:eastAsia="宋体" w:cs="宋体"/>
                <w:color w:val="000000"/>
                <w:kern w:val="0"/>
                <w:sz w:val="18"/>
                <w:szCs w:val="18"/>
                <w:lang w:eastAsia="zh-CN"/>
              </w:rPr>
            </w:pPr>
            <w:r>
              <w:rPr>
                <w:rFonts w:hint="eastAsia" w:ascii="Times New Roman" w:hAnsi="Times New Roman" w:cs="宋体"/>
                <w:color w:val="000000"/>
                <w:kern w:val="0"/>
                <w:sz w:val="18"/>
                <w:szCs w:val="18"/>
                <w:lang w:val="en-US" w:eastAsia="zh-CN"/>
              </w:rPr>
              <w:t>8</w:t>
            </w:r>
          </w:p>
        </w:tc>
        <w:tc>
          <w:tcPr>
            <w:tcW w:w="2111" w:type="pct"/>
            <w:shd w:val="clear" w:color="auto" w:fill="FFFFFF"/>
            <w:vAlign w:val="center"/>
          </w:tcPr>
          <w:p w14:paraId="23B38A94">
            <w:pPr>
              <w:snapToGrid w:val="0"/>
              <w:spacing w:line="240" w:lineRule="auto"/>
              <w:jc w:val="center"/>
              <w:rPr>
                <w:rFonts w:ascii="Times New Roman" w:hAnsi="Times New Roman" w:cs="宋体"/>
                <w:color w:val="000000"/>
                <w:kern w:val="0"/>
                <w:sz w:val="18"/>
                <w:szCs w:val="18"/>
                <w:highlight w:val="red"/>
              </w:rPr>
            </w:pPr>
            <w:r>
              <w:rPr>
                <w:rFonts w:hint="eastAsia" w:ascii="Times New Roman" w:hAnsi="Times New Roman" w:cs="宋体"/>
                <w:color w:val="000000"/>
                <w:kern w:val="0"/>
                <w:sz w:val="18"/>
                <w:szCs w:val="18"/>
                <w:lang w:val="en-US" w:eastAsia="zh-CN"/>
              </w:rPr>
              <w:t>南京丹迪克电力仪表有限公司</w:t>
            </w:r>
          </w:p>
        </w:tc>
        <w:tc>
          <w:tcPr>
            <w:tcW w:w="847" w:type="pct"/>
            <w:shd w:val="clear" w:color="auto" w:fill="FFFFFF"/>
            <w:vAlign w:val="center"/>
          </w:tcPr>
          <w:p w14:paraId="3F0C9D77">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顾红波</w:t>
            </w:r>
          </w:p>
        </w:tc>
        <w:tc>
          <w:tcPr>
            <w:tcW w:w="1653" w:type="pct"/>
            <w:shd w:val="clear" w:color="auto" w:fill="FFFFFF"/>
            <w:vAlign w:val="center"/>
          </w:tcPr>
          <w:p w14:paraId="61B99522">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辅助编写</w:t>
            </w:r>
            <w:r>
              <w:rPr>
                <w:rFonts w:hint="eastAsia" w:ascii="Times New Roman" w:hAnsi="Times New Roman" w:cs="宋体"/>
                <w:color w:val="000000"/>
                <w:kern w:val="0"/>
                <w:sz w:val="18"/>
                <w:szCs w:val="18"/>
                <w:lang w:val="en-US" w:eastAsia="zh-CN"/>
              </w:rPr>
              <w:t>校核</w:t>
            </w: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4-5</w:t>
            </w:r>
            <w:r>
              <w:rPr>
                <w:rFonts w:hint="eastAsia" w:ascii="Times New Roman" w:hAnsi="Times New Roman" w:cs="宋体"/>
                <w:color w:val="000000"/>
                <w:kern w:val="0"/>
                <w:sz w:val="18"/>
                <w:szCs w:val="18"/>
              </w:rPr>
              <w:t>章</w:t>
            </w:r>
          </w:p>
        </w:tc>
      </w:tr>
      <w:tr w14:paraId="293CF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44657725">
            <w:pPr>
              <w:snapToGrid w:val="0"/>
              <w:spacing w:line="240" w:lineRule="auto"/>
              <w:jc w:val="center"/>
              <w:rPr>
                <w:rFonts w:hint="default" w:ascii="Times New Roman" w:hAnsi="Times New Roman" w:cs="宋体"/>
                <w:color w:val="000000"/>
                <w:kern w:val="0"/>
                <w:sz w:val="18"/>
                <w:szCs w:val="18"/>
                <w:lang w:val="en-US" w:eastAsia="zh-CN"/>
              </w:rPr>
            </w:pPr>
            <w:r>
              <w:rPr>
                <w:rFonts w:hint="eastAsia" w:ascii="Times New Roman" w:hAnsi="Times New Roman" w:cs="宋体"/>
                <w:color w:val="000000"/>
                <w:kern w:val="0"/>
                <w:sz w:val="18"/>
                <w:szCs w:val="18"/>
                <w:lang w:val="en-US" w:eastAsia="zh-CN"/>
              </w:rPr>
              <w:t>9</w:t>
            </w:r>
          </w:p>
        </w:tc>
        <w:tc>
          <w:tcPr>
            <w:tcW w:w="2111" w:type="pct"/>
            <w:shd w:val="clear" w:color="auto" w:fill="FFFFFF"/>
            <w:vAlign w:val="center"/>
          </w:tcPr>
          <w:p w14:paraId="70A90ADA">
            <w:pPr>
              <w:snapToGrid w:val="0"/>
              <w:spacing w:line="240" w:lineRule="auto"/>
              <w:jc w:val="center"/>
              <w:rPr>
                <w:rFonts w:hint="eastAsia" w:ascii="Times New Roman" w:hAnsi="Times New Roman" w:eastAsia="宋体" w:cs="宋体"/>
                <w:color w:val="000000"/>
                <w:kern w:val="0"/>
                <w:sz w:val="18"/>
                <w:szCs w:val="18"/>
                <w:lang w:val="en-US" w:eastAsia="zh-CN" w:bidi="ar-SA"/>
              </w:rPr>
            </w:pPr>
            <w:r>
              <w:rPr>
                <w:rFonts w:hint="eastAsia" w:ascii="Times New Roman" w:hAnsi="Times New Roman" w:cs="宋体"/>
                <w:color w:val="000000"/>
                <w:kern w:val="0"/>
                <w:sz w:val="18"/>
                <w:szCs w:val="18"/>
              </w:rPr>
              <w:t>江苏镇江燃气热电有限公司</w:t>
            </w:r>
          </w:p>
        </w:tc>
        <w:tc>
          <w:tcPr>
            <w:tcW w:w="847" w:type="pct"/>
            <w:shd w:val="clear" w:color="auto" w:fill="FFFFFF"/>
            <w:vAlign w:val="center"/>
          </w:tcPr>
          <w:p w14:paraId="29D670C8">
            <w:pPr>
              <w:snapToGrid w:val="0"/>
              <w:spacing w:line="240" w:lineRule="auto"/>
              <w:jc w:val="center"/>
              <w:rPr>
                <w:rFonts w:hint="eastAsia" w:ascii="Times New Roman" w:hAnsi="Times New Roman" w:eastAsia="宋体" w:cs="宋体"/>
                <w:color w:val="000000"/>
                <w:kern w:val="0"/>
                <w:sz w:val="18"/>
                <w:szCs w:val="18"/>
                <w:lang w:val="en-US" w:eastAsia="zh-CN" w:bidi="ar-SA"/>
              </w:rPr>
            </w:pPr>
            <w:r>
              <w:rPr>
                <w:rFonts w:hint="eastAsia" w:ascii="Times New Roman" w:hAnsi="Times New Roman" w:cs="宋体"/>
                <w:color w:val="000000"/>
                <w:kern w:val="0"/>
                <w:sz w:val="18"/>
                <w:szCs w:val="18"/>
              </w:rPr>
              <w:t>周广云</w:t>
            </w:r>
          </w:p>
        </w:tc>
        <w:tc>
          <w:tcPr>
            <w:tcW w:w="1653" w:type="pct"/>
            <w:shd w:val="clear" w:color="auto" w:fill="FFFFFF"/>
            <w:vAlign w:val="center"/>
          </w:tcPr>
          <w:p w14:paraId="53FBCF08">
            <w:pPr>
              <w:snapToGrid w:val="0"/>
              <w:spacing w:line="240" w:lineRule="auto"/>
              <w:jc w:val="center"/>
              <w:rPr>
                <w:rFonts w:hint="eastAsia" w:ascii="Times New Roman" w:hAnsi="Times New Roman" w:eastAsia="宋体" w:cs="宋体"/>
                <w:color w:val="000000"/>
                <w:kern w:val="0"/>
                <w:sz w:val="18"/>
                <w:szCs w:val="18"/>
                <w:lang w:val="en-US" w:eastAsia="zh-CN" w:bidi="ar-SA"/>
              </w:rPr>
            </w:pP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6-7</w:t>
            </w:r>
            <w:r>
              <w:rPr>
                <w:rFonts w:hint="eastAsia" w:ascii="Times New Roman" w:hAnsi="Times New Roman" w:cs="宋体"/>
                <w:color w:val="000000"/>
                <w:kern w:val="0"/>
                <w:sz w:val="18"/>
                <w:szCs w:val="18"/>
              </w:rPr>
              <w:t>章技术指导</w:t>
            </w:r>
          </w:p>
        </w:tc>
      </w:tr>
      <w:tr w14:paraId="682F1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387" w:type="pct"/>
            <w:shd w:val="clear" w:color="auto" w:fill="FFFFFF"/>
            <w:vAlign w:val="center"/>
          </w:tcPr>
          <w:p w14:paraId="47D2A46C">
            <w:pPr>
              <w:snapToGrid w:val="0"/>
              <w:spacing w:line="240" w:lineRule="auto"/>
              <w:jc w:val="center"/>
              <w:rPr>
                <w:rFonts w:hint="default" w:ascii="Times New Roman" w:hAnsi="Times New Roman" w:eastAsia="宋体" w:cs="宋体"/>
                <w:color w:val="000000"/>
                <w:kern w:val="0"/>
                <w:sz w:val="18"/>
                <w:szCs w:val="18"/>
                <w:lang w:val="en-US" w:eastAsia="zh-CN"/>
              </w:rPr>
            </w:pPr>
            <w:r>
              <w:rPr>
                <w:rFonts w:hint="eastAsia" w:ascii="Times New Roman" w:hAnsi="Times New Roman" w:cs="宋体"/>
                <w:color w:val="000000"/>
                <w:kern w:val="0"/>
                <w:sz w:val="18"/>
                <w:szCs w:val="18"/>
                <w:lang w:val="en-US" w:eastAsia="zh-CN"/>
              </w:rPr>
              <w:t>10</w:t>
            </w:r>
          </w:p>
        </w:tc>
        <w:tc>
          <w:tcPr>
            <w:tcW w:w="2111" w:type="pct"/>
            <w:shd w:val="clear" w:color="auto" w:fill="FFFFFF"/>
            <w:vAlign w:val="center"/>
          </w:tcPr>
          <w:p w14:paraId="7E1D1618">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南京化学工业园热电有限公司</w:t>
            </w:r>
          </w:p>
        </w:tc>
        <w:tc>
          <w:tcPr>
            <w:tcW w:w="847" w:type="pct"/>
            <w:shd w:val="clear" w:color="auto" w:fill="FFFFFF"/>
            <w:vAlign w:val="center"/>
          </w:tcPr>
          <w:p w14:paraId="6E6098AA">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聂荣乐</w:t>
            </w:r>
          </w:p>
        </w:tc>
        <w:tc>
          <w:tcPr>
            <w:tcW w:w="1653" w:type="pct"/>
            <w:shd w:val="clear" w:color="auto" w:fill="FFFFFF"/>
            <w:vAlign w:val="center"/>
          </w:tcPr>
          <w:p w14:paraId="28C1EB69">
            <w:pPr>
              <w:snapToGrid w:val="0"/>
              <w:spacing w:line="240" w:lineRule="auto"/>
              <w:jc w:val="center"/>
              <w:rPr>
                <w:rFonts w:ascii="Times New Roman" w:hAnsi="Times New Roman" w:cs="宋体"/>
                <w:color w:val="000000"/>
                <w:kern w:val="0"/>
                <w:sz w:val="18"/>
                <w:szCs w:val="18"/>
              </w:rPr>
            </w:pPr>
            <w:r>
              <w:rPr>
                <w:rFonts w:hint="eastAsia" w:ascii="Times New Roman" w:hAnsi="Times New Roman" w:cs="宋体"/>
                <w:color w:val="000000"/>
                <w:kern w:val="0"/>
                <w:sz w:val="18"/>
                <w:szCs w:val="18"/>
              </w:rPr>
              <w:t>第</w:t>
            </w:r>
            <w:r>
              <w:rPr>
                <w:rFonts w:hint="eastAsia" w:ascii="Times New Roman" w:hAnsi="Times New Roman" w:cs="宋体"/>
                <w:color w:val="000000"/>
                <w:kern w:val="0"/>
                <w:sz w:val="18"/>
                <w:szCs w:val="18"/>
                <w:lang w:val="en-US" w:eastAsia="zh-CN"/>
              </w:rPr>
              <w:t>6-7</w:t>
            </w:r>
            <w:r>
              <w:rPr>
                <w:rFonts w:hint="eastAsia" w:ascii="Times New Roman" w:hAnsi="Times New Roman" w:cs="宋体"/>
                <w:color w:val="000000"/>
                <w:kern w:val="0"/>
                <w:sz w:val="18"/>
                <w:szCs w:val="18"/>
              </w:rPr>
              <w:t>章技术指导</w:t>
            </w:r>
          </w:p>
        </w:tc>
      </w:tr>
    </w:tbl>
    <w:p w14:paraId="7C23CD28">
      <w:pPr>
        <w:pStyle w:val="14"/>
        <w:ind w:firstLine="0" w:firstLineChars="0"/>
        <w:jc w:val="center"/>
      </w:pPr>
    </w:p>
    <w:p w14:paraId="02D9D9F8">
      <w:pPr>
        <w:pStyle w:val="14"/>
        <w:ind w:firstLine="0" w:firstLineChars="0"/>
        <w:jc w:val="center"/>
      </w:pPr>
    </w:p>
    <w:p w14:paraId="4AE9C031">
      <w:pPr>
        <w:jc w:val="center"/>
      </w:pPr>
      <w:bookmarkStart w:id="43" w:name="BookMark8"/>
      <w:r>
        <w:rPr>
          <w:rFonts w:hint="eastAsia"/>
        </w:rPr>
        <w:drawing>
          <wp:inline distT="0" distB="0" distL="0" distR="0">
            <wp:extent cx="1485900" cy="317500"/>
            <wp:effectExtent l="0" t="0" r="0" b="6350"/>
            <wp:docPr id="669009868" name="图片 669009868"/>
            <wp:cNvGraphicFramePr/>
            <a:graphic xmlns:a="http://schemas.openxmlformats.org/drawingml/2006/main">
              <a:graphicData uri="http://schemas.openxmlformats.org/drawingml/2006/picture">
                <pic:pic xmlns:pic="http://schemas.openxmlformats.org/drawingml/2006/picture">
                  <pic:nvPicPr>
                    <pic:cNvPr id="669009868" name="图片 669009868"/>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headerReference r:id="rId12" w:type="first"/>
      <w:headerReference r:id="rId10" w:type="default"/>
      <w:footerReference r:id="rId13" w:type="default"/>
      <w:headerReference r:id="rId11" w:type="even"/>
      <w:pgSz w:w="11906" w:h="16838"/>
      <w:pgMar w:top="1440" w:right="1077" w:bottom="1440" w:left="107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方正楷体简体"/>
    <w:panose1 w:val="02010600030101010101"/>
    <w:charset w:val="86"/>
    <w:family w:val="auto"/>
    <w:pitch w:val="default"/>
    <w:sig w:usb0="00000000" w:usb1="00000000" w:usb2="00000016" w:usb3="00000000" w:csb0="0004000F" w:csb1="00000000"/>
  </w:font>
  <w:font w:name="方正楷体简体">
    <w:panose1 w:val="02010601030101010101"/>
    <w:charset w:val="86"/>
    <w:family w:val="auto"/>
    <w:pitch w:val="default"/>
    <w:sig w:usb0="00000001" w:usb1="080E0000" w:usb2="00000000" w:usb3="00000000" w:csb0="00040000" w:csb1="0000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等线 Light">
    <w:altName w:val="方正楷体简体"/>
    <w:panose1 w:val="02010600030101010101"/>
    <w:charset w:val="86"/>
    <w:family w:val="auto"/>
    <w:pitch w:val="default"/>
    <w:sig w:usb0="00000000" w:usb1="00000000" w:usb2="00000016" w:usb3="00000000" w:csb0="0004000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瀹嬩綋">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88B57">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B5DFD">
    <w:pPr>
      <w:pStyle w:val="4"/>
      <w:jc w:val="right"/>
      <w:rPr>
        <w:sz w:val="21"/>
        <w:szCs w:val="22"/>
      </w:rPr>
    </w:pPr>
    <w:sdt>
      <w:sdtPr>
        <w:id w:val="995668600"/>
      </w:sdtPr>
      <w:sdtContent>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I</w:t>
        </w:r>
        <w:r>
          <w:rPr>
            <w:rFonts w:ascii="Times New Roman" w:hAnsi="Times New Roman"/>
          </w:rPr>
          <w:fldChar w:fldCharType="end"/>
        </w:r>
      </w:sdtContent>
    </w:sdt>
  </w:p>
  <w:p w14:paraId="2CC9D436">
    <w:pPr>
      <w:spacing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5EAF8">
    <w:pPr>
      <w:pStyle w:val="4"/>
      <w:jc w:val="right"/>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w:t>
    </w:r>
    <w:r>
      <w:rPr>
        <w:rFonts w:ascii="Times New Roman" w:hAnsi="Times New Roman"/>
        <w:lang w:val="zh-CN"/>
      </w:rPr>
      <w:fldChar w:fldCharType="end"/>
    </w:r>
  </w:p>
  <w:p w14:paraId="394A7252">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9313B">
    <w:pPr>
      <w:spacing w:line="0" w:lineRule="atLeast"/>
      <w:rPr>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564CC">
    <w:pPr>
      <w:pStyle w:val="5"/>
    </w:pPr>
    <w:r>
      <w:pict>
        <v:shape id="PowerPlusWaterMarkObject10285655" o:spid="_x0000_s4098" o:spt="136" type="#_x0000_t136" style="position:absolute;left:0pt;height:99.75pt;width:598.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C5FBA">
    <w:pPr>
      <w:pStyle w:val="5"/>
    </w:pPr>
    <w:r>
      <w:pict>
        <v:shape id="PowerPlusWaterMarkObject10285654" o:spid="_x0000_s4097" o:spt="136" type="#_x0000_t136" style="position:absolute;left:0pt;height:99.75pt;width:598.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52C1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B68B9">
    <w:pPr>
      <w:pStyle w:val="5"/>
    </w:pPr>
    <w:r>
      <w:pict>
        <v:shape id="PowerPlusWaterMarkObject10285658" o:spid="_x0000_s4100" o:spt="136" type="#_x0000_t136" style="position:absolute;left:0pt;height:99.75pt;width:598.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0C90">
    <w:pPr>
      <w:pStyle w:val="5"/>
    </w:pPr>
    <w:r>
      <w:pict>
        <v:shape id="PowerPlusWaterMarkObject10285657" o:spid="_x0000_s4099" o:spt="136" type="#_x0000_t136" style="position:absolute;left:0pt;height:99.75pt;width:598.5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JSEE团体标准" style="font-family:楷体_GB2312;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bCs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bCs/>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567" w:firstLine="0"/>
      </w:pPr>
      <w:rPr>
        <w:rFonts w:hint="eastAsia" w:ascii="黑体" w:hAnsi="Times New Roman" w:eastAsia="黑体"/>
        <w:b/>
        <w:bCs w:val="0"/>
        <w:i w:val="0"/>
        <w:sz w:val="21"/>
      </w:rPr>
    </w:lvl>
    <w:lvl w:ilvl="3" w:tentative="0">
      <w:start w:val="1"/>
      <w:numFmt w:val="decimal"/>
      <w:suff w:val="nothing"/>
      <w:lvlText w:val="%1.%2.%3.%4　"/>
      <w:lvlJc w:val="left"/>
      <w:pPr>
        <w:ind w:left="2127" w:firstLine="0"/>
      </w:pPr>
      <w:rPr>
        <w:rFonts w:hint="eastAsia" w:ascii="黑体" w:hAnsi="Times New Roman" w:eastAsia="黑体"/>
        <w:b/>
        <w:bCs/>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pStyle w:val="2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24"/>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46260FA"/>
    <w:multiLevelType w:val="multilevel"/>
    <w:tmpl w:val="646260FA"/>
    <w:lvl w:ilvl="0" w:tentative="0">
      <w:start w:val="1"/>
      <w:numFmt w:val="decimal"/>
      <w:pStyle w:val="15"/>
      <w:suff w:val="nothing"/>
      <w:lvlText w:val="表%1　"/>
      <w:lvlJc w:val="left"/>
      <w:pPr>
        <w:ind w:left="1843"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936"/>
    <w:rsid w:val="00002C64"/>
    <w:rsid w:val="000035B2"/>
    <w:rsid w:val="00004664"/>
    <w:rsid w:val="000070F2"/>
    <w:rsid w:val="000151A3"/>
    <w:rsid w:val="000232B9"/>
    <w:rsid w:val="00032862"/>
    <w:rsid w:val="000351B8"/>
    <w:rsid w:val="00040C2A"/>
    <w:rsid w:val="00042628"/>
    <w:rsid w:val="000614C6"/>
    <w:rsid w:val="000623A0"/>
    <w:rsid w:val="00064ECE"/>
    <w:rsid w:val="00065093"/>
    <w:rsid w:val="00065197"/>
    <w:rsid w:val="000706F4"/>
    <w:rsid w:val="00090E03"/>
    <w:rsid w:val="00092DFF"/>
    <w:rsid w:val="000A194D"/>
    <w:rsid w:val="000A3969"/>
    <w:rsid w:val="000A6820"/>
    <w:rsid w:val="000B3754"/>
    <w:rsid w:val="000C1BF9"/>
    <w:rsid w:val="000C38DD"/>
    <w:rsid w:val="000D5CE6"/>
    <w:rsid w:val="000E0390"/>
    <w:rsid w:val="000E1C53"/>
    <w:rsid w:val="000E35E0"/>
    <w:rsid w:val="000E3B5F"/>
    <w:rsid w:val="000F1DCC"/>
    <w:rsid w:val="0010691B"/>
    <w:rsid w:val="00114606"/>
    <w:rsid w:val="00126616"/>
    <w:rsid w:val="00127164"/>
    <w:rsid w:val="00127910"/>
    <w:rsid w:val="00154721"/>
    <w:rsid w:val="001570AD"/>
    <w:rsid w:val="00157C1F"/>
    <w:rsid w:val="00165782"/>
    <w:rsid w:val="00174F63"/>
    <w:rsid w:val="0018650E"/>
    <w:rsid w:val="00195E79"/>
    <w:rsid w:val="00197A51"/>
    <w:rsid w:val="001A7E00"/>
    <w:rsid w:val="001B0CE2"/>
    <w:rsid w:val="001B1DA1"/>
    <w:rsid w:val="001B5E80"/>
    <w:rsid w:val="001C09B3"/>
    <w:rsid w:val="001D1E6B"/>
    <w:rsid w:val="001E33BD"/>
    <w:rsid w:val="001E49E1"/>
    <w:rsid w:val="001F1735"/>
    <w:rsid w:val="0020169E"/>
    <w:rsid w:val="002028B1"/>
    <w:rsid w:val="00202EDF"/>
    <w:rsid w:val="002130A0"/>
    <w:rsid w:val="0021583E"/>
    <w:rsid w:val="00215CF8"/>
    <w:rsid w:val="00215D68"/>
    <w:rsid w:val="002171B1"/>
    <w:rsid w:val="00222092"/>
    <w:rsid w:val="00232663"/>
    <w:rsid w:val="00237DFC"/>
    <w:rsid w:val="002477AD"/>
    <w:rsid w:val="00260E6B"/>
    <w:rsid w:val="00262022"/>
    <w:rsid w:val="00264F5C"/>
    <w:rsid w:val="00270B87"/>
    <w:rsid w:val="00270D70"/>
    <w:rsid w:val="00274A41"/>
    <w:rsid w:val="00276DE2"/>
    <w:rsid w:val="0027775E"/>
    <w:rsid w:val="00284F62"/>
    <w:rsid w:val="0028702E"/>
    <w:rsid w:val="002905C7"/>
    <w:rsid w:val="00294252"/>
    <w:rsid w:val="00296E88"/>
    <w:rsid w:val="002A6E09"/>
    <w:rsid w:val="002C41AC"/>
    <w:rsid w:val="002C6380"/>
    <w:rsid w:val="002D716E"/>
    <w:rsid w:val="002E0765"/>
    <w:rsid w:val="002F664B"/>
    <w:rsid w:val="002F704A"/>
    <w:rsid w:val="00304332"/>
    <w:rsid w:val="00304B06"/>
    <w:rsid w:val="00307E9F"/>
    <w:rsid w:val="00311A69"/>
    <w:rsid w:val="00317122"/>
    <w:rsid w:val="00321DDE"/>
    <w:rsid w:val="003279AA"/>
    <w:rsid w:val="00340DF6"/>
    <w:rsid w:val="0035162D"/>
    <w:rsid w:val="00353083"/>
    <w:rsid w:val="00355D98"/>
    <w:rsid w:val="0036109F"/>
    <w:rsid w:val="0036499C"/>
    <w:rsid w:val="00365A44"/>
    <w:rsid w:val="00380DB0"/>
    <w:rsid w:val="0038272D"/>
    <w:rsid w:val="003831E7"/>
    <w:rsid w:val="00384C8F"/>
    <w:rsid w:val="003962F2"/>
    <w:rsid w:val="003A0D6E"/>
    <w:rsid w:val="003A4A1D"/>
    <w:rsid w:val="003A58FA"/>
    <w:rsid w:val="003B08EC"/>
    <w:rsid w:val="003B5D1A"/>
    <w:rsid w:val="003B6683"/>
    <w:rsid w:val="003C6C16"/>
    <w:rsid w:val="003C7F42"/>
    <w:rsid w:val="003D119D"/>
    <w:rsid w:val="003D5039"/>
    <w:rsid w:val="003E7B69"/>
    <w:rsid w:val="003F5E15"/>
    <w:rsid w:val="003F6D90"/>
    <w:rsid w:val="00411CA3"/>
    <w:rsid w:val="0041367A"/>
    <w:rsid w:val="00427793"/>
    <w:rsid w:val="0043473D"/>
    <w:rsid w:val="004355C3"/>
    <w:rsid w:val="004533FF"/>
    <w:rsid w:val="004547C9"/>
    <w:rsid w:val="004633C5"/>
    <w:rsid w:val="00463E41"/>
    <w:rsid w:val="00466B41"/>
    <w:rsid w:val="00480E3B"/>
    <w:rsid w:val="00487900"/>
    <w:rsid w:val="00493F34"/>
    <w:rsid w:val="004941E9"/>
    <w:rsid w:val="004960E9"/>
    <w:rsid w:val="0049676E"/>
    <w:rsid w:val="00497C78"/>
    <w:rsid w:val="004A61C4"/>
    <w:rsid w:val="004B1A76"/>
    <w:rsid w:val="004B30AD"/>
    <w:rsid w:val="004B68CF"/>
    <w:rsid w:val="004C4AA9"/>
    <w:rsid w:val="004D013A"/>
    <w:rsid w:val="004E1DE5"/>
    <w:rsid w:val="004E2944"/>
    <w:rsid w:val="004F2A1F"/>
    <w:rsid w:val="004F751F"/>
    <w:rsid w:val="004F7E93"/>
    <w:rsid w:val="00505B86"/>
    <w:rsid w:val="0050793B"/>
    <w:rsid w:val="00520548"/>
    <w:rsid w:val="00532C3C"/>
    <w:rsid w:val="00533728"/>
    <w:rsid w:val="00550540"/>
    <w:rsid w:val="00565EB2"/>
    <w:rsid w:val="00567D78"/>
    <w:rsid w:val="0057240C"/>
    <w:rsid w:val="00590525"/>
    <w:rsid w:val="005964C5"/>
    <w:rsid w:val="00597762"/>
    <w:rsid w:val="005A728F"/>
    <w:rsid w:val="005B5B58"/>
    <w:rsid w:val="005C0E64"/>
    <w:rsid w:val="005C2347"/>
    <w:rsid w:val="005D2B1D"/>
    <w:rsid w:val="005D73C6"/>
    <w:rsid w:val="005F1803"/>
    <w:rsid w:val="005F277D"/>
    <w:rsid w:val="005F3D27"/>
    <w:rsid w:val="005F40F0"/>
    <w:rsid w:val="006138B7"/>
    <w:rsid w:val="00617F4D"/>
    <w:rsid w:val="00622B7A"/>
    <w:rsid w:val="006306A5"/>
    <w:rsid w:val="006357C7"/>
    <w:rsid w:val="00646142"/>
    <w:rsid w:val="00646BB3"/>
    <w:rsid w:val="00662A73"/>
    <w:rsid w:val="00663783"/>
    <w:rsid w:val="00672D0C"/>
    <w:rsid w:val="006734C6"/>
    <w:rsid w:val="006904B7"/>
    <w:rsid w:val="006A0DE9"/>
    <w:rsid w:val="006A2736"/>
    <w:rsid w:val="006A42FC"/>
    <w:rsid w:val="006A441B"/>
    <w:rsid w:val="006C4B09"/>
    <w:rsid w:val="006C6F44"/>
    <w:rsid w:val="006D2B04"/>
    <w:rsid w:val="006D31E1"/>
    <w:rsid w:val="006D39E3"/>
    <w:rsid w:val="006E0DA4"/>
    <w:rsid w:val="006E2197"/>
    <w:rsid w:val="006F044E"/>
    <w:rsid w:val="006F496E"/>
    <w:rsid w:val="00710B33"/>
    <w:rsid w:val="0071252F"/>
    <w:rsid w:val="00713CC6"/>
    <w:rsid w:val="00732BC6"/>
    <w:rsid w:val="00733E26"/>
    <w:rsid w:val="00737A4D"/>
    <w:rsid w:val="007610DA"/>
    <w:rsid w:val="007650BA"/>
    <w:rsid w:val="0076688D"/>
    <w:rsid w:val="007730A6"/>
    <w:rsid w:val="0077742E"/>
    <w:rsid w:val="00777E9D"/>
    <w:rsid w:val="007850D0"/>
    <w:rsid w:val="0079154D"/>
    <w:rsid w:val="007955FA"/>
    <w:rsid w:val="00795ACD"/>
    <w:rsid w:val="007A35D4"/>
    <w:rsid w:val="007A36DD"/>
    <w:rsid w:val="007A3C59"/>
    <w:rsid w:val="007A4160"/>
    <w:rsid w:val="007A69EF"/>
    <w:rsid w:val="007B09BF"/>
    <w:rsid w:val="007B1553"/>
    <w:rsid w:val="007B2870"/>
    <w:rsid w:val="007B569C"/>
    <w:rsid w:val="007B7EF0"/>
    <w:rsid w:val="007C0D0E"/>
    <w:rsid w:val="007C1D02"/>
    <w:rsid w:val="007C2816"/>
    <w:rsid w:val="007C5DBA"/>
    <w:rsid w:val="007D058D"/>
    <w:rsid w:val="007D43DB"/>
    <w:rsid w:val="007F2B7B"/>
    <w:rsid w:val="007F640E"/>
    <w:rsid w:val="00800508"/>
    <w:rsid w:val="008039BA"/>
    <w:rsid w:val="00804796"/>
    <w:rsid w:val="00804FE9"/>
    <w:rsid w:val="00813F69"/>
    <w:rsid w:val="008205F1"/>
    <w:rsid w:val="008476AC"/>
    <w:rsid w:val="00851A60"/>
    <w:rsid w:val="008662BE"/>
    <w:rsid w:val="008850A4"/>
    <w:rsid w:val="00891F93"/>
    <w:rsid w:val="008931C6"/>
    <w:rsid w:val="00893896"/>
    <w:rsid w:val="0089712F"/>
    <w:rsid w:val="008B3E12"/>
    <w:rsid w:val="008B4D14"/>
    <w:rsid w:val="008C14E3"/>
    <w:rsid w:val="008D2532"/>
    <w:rsid w:val="008D4417"/>
    <w:rsid w:val="008D65B6"/>
    <w:rsid w:val="008E254B"/>
    <w:rsid w:val="008F14F8"/>
    <w:rsid w:val="008F3947"/>
    <w:rsid w:val="008F61DA"/>
    <w:rsid w:val="00904916"/>
    <w:rsid w:val="009146EE"/>
    <w:rsid w:val="00914DCB"/>
    <w:rsid w:val="00916D05"/>
    <w:rsid w:val="009204E5"/>
    <w:rsid w:val="00923BDA"/>
    <w:rsid w:val="009265F9"/>
    <w:rsid w:val="00927884"/>
    <w:rsid w:val="009334EA"/>
    <w:rsid w:val="00935FEF"/>
    <w:rsid w:val="009407E3"/>
    <w:rsid w:val="00946145"/>
    <w:rsid w:val="009507FC"/>
    <w:rsid w:val="009563B4"/>
    <w:rsid w:val="00971755"/>
    <w:rsid w:val="00971F4C"/>
    <w:rsid w:val="00974F78"/>
    <w:rsid w:val="00985271"/>
    <w:rsid w:val="00985540"/>
    <w:rsid w:val="009A585F"/>
    <w:rsid w:val="009B2181"/>
    <w:rsid w:val="009B6B96"/>
    <w:rsid w:val="009C5AE3"/>
    <w:rsid w:val="009E014F"/>
    <w:rsid w:val="009E2937"/>
    <w:rsid w:val="009F2343"/>
    <w:rsid w:val="009F3B0C"/>
    <w:rsid w:val="009F5ADA"/>
    <w:rsid w:val="009F6AC7"/>
    <w:rsid w:val="00A00A20"/>
    <w:rsid w:val="00A03833"/>
    <w:rsid w:val="00A0446E"/>
    <w:rsid w:val="00A12D1A"/>
    <w:rsid w:val="00A16224"/>
    <w:rsid w:val="00A21187"/>
    <w:rsid w:val="00A31ACF"/>
    <w:rsid w:val="00A35F3A"/>
    <w:rsid w:val="00A47171"/>
    <w:rsid w:val="00A47D9D"/>
    <w:rsid w:val="00A5255F"/>
    <w:rsid w:val="00A531A5"/>
    <w:rsid w:val="00A54BBE"/>
    <w:rsid w:val="00A70F53"/>
    <w:rsid w:val="00A72DAA"/>
    <w:rsid w:val="00A73F20"/>
    <w:rsid w:val="00A75F70"/>
    <w:rsid w:val="00A769D1"/>
    <w:rsid w:val="00A772EF"/>
    <w:rsid w:val="00A837D0"/>
    <w:rsid w:val="00A8693D"/>
    <w:rsid w:val="00AA5C3B"/>
    <w:rsid w:val="00AB1EC4"/>
    <w:rsid w:val="00AD59AF"/>
    <w:rsid w:val="00AE1B8B"/>
    <w:rsid w:val="00AE5407"/>
    <w:rsid w:val="00AE5525"/>
    <w:rsid w:val="00AF757E"/>
    <w:rsid w:val="00AF7C35"/>
    <w:rsid w:val="00B0084C"/>
    <w:rsid w:val="00B00FE2"/>
    <w:rsid w:val="00B03CF0"/>
    <w:rsid w:val="00B14A94"/>
    <w:rsid w:val="00B14EB7"/>
    <w:rsid w:val="00B16511"/>
    <w:rsid w:val="00B253EF"/>
    <w:rsid w:val="00B31E16"/>
    <w:rsid w:val="00B324F0"/>
    <w:rsid w:val="00B34E10"/>
    <w:rsid w:val="00B44391"/>
    <w:rsid w:val="00B44642"/>
    <w:rsid w:val="00B51644"/>
    <w:rsid w:val="00B517AF"/>
    <w:rsid w:val="00B53654"/>
    <w:rsid w:val="00B54E54"/>
    <w:rsid w:val="00B64E18"/>
    <w:rsid w:val="00B716EE"/>
    <w:rsid w:val="00B80FE4"/>
    <w:rsid w:val="00B82162"/>
    <w:rsid w:val="00B8458C"/>
    <w:rsid w:val="00B91C7A"/>
    <w:rsid w:val="00B9764E"/>
    <w:rsid w:val="00BA49B6"/>
    <w:rsid w:val="00BA5995"/>
    <w:rsid w:val="00BA798B"/>
    <w:rsid w:val="00BB5958"/>
    <w:rsid w:val="00BC08DC"/>
    <w:rsid w:val="00BC1969"/>
    <w:rsid w:val="00BC29CD"/>
    <w:rsid w:val="00BC3809"/>
    <w:rsid w:val="00BC3DC5"/>
    <w:rsid w:val="00BC6A9D"/>
    <w:rsid w:val="00BD06D4"/>
    <w:rsid w:val="00BD5DDF"/>
    <w:rsid w:val="00BD696D"/>
    <w:rsid w:val="00BD6DE5"/>
    <w:rsid w:val="00BE15AC"/>
    <w:rsid w:val="00BE1C9C"/>
    <w:rsid w:val="00BF5FE5"/>
    <w:rsid w:val="00C13237"/>
    <w:rsid w:val="00C222C9"/>
    <w:rsid w:val="00C27323"/>
    <w:rsid w:val="00C30396"/>
    <w:rsid w:val="00C313A2"/>
    <w:rsid w:val="00C33EE8"/>
    <w:rsid w:val="00C36B66"/>
    <w:rsid w:val="00C41EDE"/>
    <w:rsid w:val="00C43750"/>
    <w:rsid w:val="00C437BC"/>
    <w:rsid w:val="00C440A9"/>
    <w:rsid w:val="00C53543"/>
    <w:rsid w:val="00C60E11"/>
    <w:rsid w:val="00C73702"/>
    <w:rsid w:val="00C76637"/>
    <w:rsid w:val="00C7743D"/>
    <w:rsid w:val="00C81175"/>
    <w:rsid w:val="00C84E67"/>
    <w:rsid w:val="00C9782D"/>
    <w:rsid w:val="00CA5C09"/>
    <w:rsid w:val="00CC0393"/>
    <w:rsid w:val="00CC53F4"/>
    <w:rsid w:val="00CD3DC4"/>
    <w:rsid w:val="00CD4E91"/>
    <w:rsid w:val="00CD7EC4"/>
    <w:rsid w:val="00CE77A0"/>
    <w:rsid w:val="00D20E1A"/>
    <w:rsid w:val="00D22ED0"/>
    <w:rsid w:val="00D25CF7"/>
    <w:rsid w:val="00D31C34"/>
    <w:rsid w:val="00D335F4"/>
    <w:rsid w:val="00D33829"/>
    <w:rsid w:val="00D35C49"/>
    <w:rsid w:val="00D35F20"/>
    <w:rsid w:val="00D444CC"/>
    <w:rsid w:val="00D56E2D"/>
    <w:rsid w:val="00D5727A"/>
    <w:rsid w:val="00D63DDC"/>
    <w:rsid w:val="00D64C4B"/>
    <w:rsid w:val="00D66C2A"/>
    <w:rsid w:val="00D71636"/>
    <w:rsid w:val="00D71995"/>
    <w:rsid w:val="00D75194"/>
    <w:rsid w:val="00D82643"/>
    <w:rsid w:val="00D85E90"/>
    <w:rsid w:val="00D97F6B"/>
    <w:rsid w:val="00DA1145"/>
    <w:rsid w:val="00DA3B66"/>
    <w:rsid w:val="00DA447D"/>
    <w:rsid w:val="00DA4FA8"/>
    <w:rsid w:val="00DA5DE9"/>
    <w:rsid w:val="00DB650E"/>
    <w:rsid w:val="00DB68C1"/>
    <w:rsid w:val="00DC1D1D"/>
    <w:rsid w:val="00DC7C1D"/>
    <w:rsid w:val="00DE29E2"/>
    <w:rsid w:val="00DE632F"/>
    <w:rsid w:val="00DF583E"/>
    <w:rsid w:val="00E00D80"/>
    <w:rsid w:val="00E05A18"/>
    <w:rsid w:val="00E13EAD"/>
    <w:rsid w:val="00E1655E"/>
    <w:rsid w:val="00E17765"/>
    <w:rsid w:val="00E57D49"/>
    <w:rsid w:val="00E57DFB"/>
    <w:rsid w:val="00E677F5"/>
    <w:rsid w:val="00E7576A"/>
    <w:rsid w:val="00E76ED6"/>
    <w:rsid w:val="00E774A4"/>
    <w:rsid w:val="00E80370"/>
    <w:rsid w:val="00EA1F53"/>
    <w:rsid w:val="00EA2AB3"/>
    <w:rsid w:val="00EA4B27"/>
    <w:rsid w:val="00EB28DD"/>
    <w:rsid w:val="00EC272C"/>
    <w:rsid w:val="00ED13A4"/>
    <w:rsid w:val="00EE1239"/>
    <w:rsid w:val="00EF373A"/>
    <w:rsid w:val="00F026E0"/>
    <w:rsid w:val="00F026E1"/>
    <w:rsid w:val="00F04973"/>
    <w:rsid w:val="00F04AFE"/>
    <w:rsid w:val="00F06840"/>
    <w:rsid w:val="00F1351E"/>
    <w:rsid w:val="00F17157"/>
    <w:rsid w:val="00F25D11"/>
    <w:rsid w:val="00F276DD"/>
    <w:rsid w:val="00F401A8"/>
    <w:rsid w:val="00F41606"/>
    <w:rsid w:val="00F43613"/>
    <w:rsid w:val="00F606DC"/>
    <w:rsid w:val="00F61D82"/>
    <w:rsid w:val="00F63456"/>
    <w:rsid w:val="00F7744A"/>
    <w:rsid w:val="00F8337E"/>
    <w:rsid w:val="00F907DA"/>
    <w:rsid w:val="00F93A75"/>
    <w:rsid w:val="00F96526"/>
    <w:rsid w:val="00F96EDF"/>
    <w:rsid w:val="00FA7833"/>
    <w:rsid w:val="00FB4936"/>
    <w:rsid w:val="00FB5644"/>
    <w:rsid w:val="00FD38D6"/>
    <w:rsid w:val="00FD7675"/>
    <w:rsid w:val="00FF3369"/>
    <w:rsid w:val="00FF5449"/>
    <w:rsid w:val="00FF58B0"/>
    <w:rsid w:val="017B5688"/>
    <w:rsid w:val="01E70628"/>
    <w:rsid w:val="028714FA"/>
    <w:rsid w:val="02CE17E8"/>
    <w:rsid w:val="034D095E"/>
    <w:rsid w:val="04937B6A"/>
    <w:rsid w:val="04E6106A"/>
    <w:rsid w:val="04FC6AE0"/>
    <w:rsid w:val="050D65F7"/>
    <w:rsid w:val="05BE1FE7"/>
    <w:rsid w:val="063F6C84"/>
    <w:rsid w:val="06734882"/>
    <w:rsid w:val="069468A4"/>
    <w:rsid w:val="075A189C"/>
    <w:rsid w:val="07862691"/>
    <w:rsid w:val="07FE66CB"/>
    <w:rsid w:val="0882008E"/>
    <w:rsid w:val="08F31FA8"/>
    <w:rsid w:val="0972111F"/>
    <w:rsid w:val="09A908B8"/>
    <w:rsid w:val="0A1B3564"/>
    <w:rsid w:val="0A2368BD"/>
    <w:rsid w:val="0A64315D"/>
    <w:rsid w:val="0A6C0264"/>
    <w:rsid w:val="0A825391"/>
    <w:rsid w:val="0AC37758"/>
    <w:rsid w:val="0B1A7CC0"/>
    <w:rsid w:val="0B4E1717"/>
    <w:rsid w:val="0BA15CEB"/>
    <w:rsid w:val="0BC21A64"/>
    <w:rsid w:val="0CBB2DDD"/>
    <w:rsid w:val="0CD10852"/>
    <w:rsid w:val="0CDB1EA2"/>
    <w:rsid w:val="0D246BD4"/>
    <w:rsid w:val="0DE22CAF"/>
    <w:rsid w:val="0E0B38F0"/>
    <w:rsid w:val="0E653000"/>
    <w:rsid w:val="0F2729AB"/>
    <w:rsid w:val="0F6C6610"/>
    <w:rsid w:val="0FA91612"/>
    <w:rsid w:val="0FD40966"/>
    <w:rsid w:val="102B0279"/>
    <w:rsid w:val="10401F77"/>
    <w:rsid w:val="10554120"/>
    <w:rsid w:val="12303925"/>
    <w:rsid w:val="127021AD"/>
    <w:rsid w:val="13272F7A"/>
    <w:rsid w:val="13525B1D"/>
    <w:rsid w:val="135F0966"/>
    <w:rsid w:val="13A94467"/>
    <w:rsid w:val="13EA1322"/>
    <w:rsid w:val="140E413A"/>
    <w:rsid w:val="14CF3E9E"/>
    <w:rsid w:val="15875F52"/>
    <w:rsid w:val="162B2D81"/>
    <w:rsid w:val="18B0756E"/>
    <w:rsid w:val="18E63730"/>
    <w:rsid w:val="199155F1"/>
    <w:rsid w:val="19A10A1B"/>
    <w:rsid w:val="1A18361C"/>
    <w:rsid w:val="1A2758F9"/>
    <w:rsid w:val="1B050485"/>
    <w:rsid w:val="1B3609F4"/>
    <w:rsid w:val="1B723200"/>
    <w:rsid w:val="1BB630ED"/>
    <w:rsid w:val="1BCD48DA"/>
    <w:rsid w:val="1C0D294B"/>
    <w:rsid w:val="1C71170A"/>
    <w:rsid w:val="1D036806"/>
    <w:rsid w:val="1D813BCE"/>
    <w:rsid w:val="1D9108F6"/>
    <w:rsid w:val="1DA769B6"/>
    <w:rsid w:val="1DD261D8"/>
    <w:rsid w:val="1E537319"/>
    <w:rsid w:val="1ECA6EAF"/>
    <w:rsid w:val="1FD224BF"/>
    <w:rsid w:val="204247FD"/>
    <w:rsid w:val="20760B1C"/>
    <w:rsid w:val="20956C07"/>
    <w:rsid w:val="20B816B5"/>
    <w:rsid w:val="21042B4C"/>
    <w:rsid w:val="211F34E2"/>
    <w:rsid w:val="21E85FCA"/>
    <w:rsid w:val="21EB1EA4"/>
    <w:rsid w:val="22E06CA1"/>
    <w:rsid w:val="22F16BE4"/>
    <w:rsid w:val="23571659"/>
    <w:rsid w:val="23A62696"/>
    <w:rsid w:val="24981900"/>
    <w:rsid w:val="24DB3BC4"/>
    <w:rsid w:val="250824DF"/>
    <w:rsid w:val="252D4FBC"/>
    <w:rsid w:val="254B6F9C"/>
    <w:rsid w:val="25A71CF8"/>
    <w:rsid w:val="26865DB2"/>
    <w:rsid w:val="26F07935"/>
    <w:rsid w:val="26F84502"/>
    <w:rsid w:val="271635D9"/>
    <w:rsid w:val="28A6273B"/>
    <w:rsid w:val="293E4722"/>
    <w:rsid w:val="29BF0E82"/>
    <w:rsid w:val="2A1C0F07"/>
    <w:rsid w:val="2A9A62D0"/>
    <w:rsid w:val="2AA25464"/>
    <w:rsid w:val="2B391645"/>
    <w:rsid w:val="2BBD2276"/>
    <w:rsid w:val="2C1B33C6"/>
    <w:rsid w:val="2C3D33B6"/>
    <w:rsid w:val="2C5A1872"/>
    <w:rsid w:val="2CC31B0E"/>
    <w:rsid w:val="2CEB696E"/>
    <w:rsid w:val="2E1B7727"/>
    <w:rsid w:val="2EB96346"/>
    <w:rsid w:val="2EF67C47"/>
    <w:rsid w:val="30240B15"/>
    <w:rsid w:val="3115045E"/>
    <w:rsid w:val="311A3CC6"/>
    <w:rsid w:val="31A16195"/>
    <w:rsid w:val="31BE4652"/>
    <w:rsid w:val="31FE0EF2"/>
    <w:rsid w:val="3277593D"/>
    <w:rsid w:val="32851613"/>
    <w:rsid w:val="32D0288E"/>
    <w:rsid w:val="33043633"/>
    <w:rsid w:val="333E7B8B"/>
    <w:rsid w:val="335433FB"/>
    <w:rsid w:val="33BC72B7"/>
    <w:rsid w:val="34347A33"/>
    <w:rsid w:val="343B467F"/>
    <w:rsid w:val="345E036E"/>
    <w:rsid w:val="34EA39B0"/>
    <w:rsid w:val="354E03E2"/>
    <w:rsid w:val="354E2190"/>
    <w:rsid w:val="355161BF"/>
    <w:rsid w:val="35D272C2"/>
    <w:rsid w:val="36A93B22"/>
    <w:rsid w:val="36E83F1F"/>
    <w:rsid w:val="373A0C1E"/>
    <w:rsid w:val="37B26A07"/>
    <w:rsid w:val="37C25749"/>
    <w:rsid w:val="37C8622A"/>
    <w:rsid w:val="37F16F81"/>
    <w:rsid w:val="37F7266B"/>
    <w:rsid w:val="388344A2"/>
    <w:rsid w:val="38A207AE"/>
    <w:rsid w:val="38E70932"/>
    <w:rsid w:val="39534219"/>
    <w:rsid w:val="3A663AD8"/>
    <w:rsid w:val="3AB0091A"/>
    <w:rsid w:val="3AB900AC"/>
    <w:rsid w:val="3B3911ED"/>
    <w:rsid w:val="3B5322AF"/>
    <w:rsid w:val="3B952CE7"/>
    <w:rsid w:val="3C5067EE"/>
    <w:rsid w:val="3C836BC3"/>
    <w:rsid w:val="3CBC20D5"/>
    <w:rsid w:val="3CD218F9"/>
    <w:rsid w:val="3E1C6DA9"/>
    <w:rsid w:val="3E3C2C4E"/>
    <w:rsid w:val="3E94330A"/>
    <w:rsid w:val="3EC34E6B"/>
    <w:rsid w:val="3ECA0ADA"/>
    <w:rsid w:val="3F381EE7"/>
    <w:rsid w:val="3F3C12AC"/>
    <w:rsid w:val="3F516B05"/>
    <w:rsid w:val="40A02A8F"/>
    <w:rsid w:val="40AA12E3"/>
    <w:rsid w:val="40AA6712"/>
    <w:rsid w:val="40D0614F"/>
    <w:rsid w:val="40DB5220"/>
    <w:rsid w:val="41185FF2"/>
    <w:rsid w:val="42097B6B"/>
    <w:rsid w:val="4236566E"/>
    <w:rsid w:val="42402E61"/>
    <w:rsid w:val="42F2520E"/>
    <w:rsid w:val="42F97BDF"/>
    <w:rsid w:val="437B23A2"/>
    <w:rsid w:val="43F87E97"/>
    <w:rsid w:val="45525385"/>
    <w:rsid w:val="458E5A72"/>
    <w:rsid w:val="45B85B30"/>
    <w:rsid w:val="45E36925"/>
    <w:rsid w:val="45EA1A61"/>
    <w:rsid w:val="476870E2"/>
    <w:rsid w:val="47911556"/>
    <w:rsid w:val="47B769D0"/>
    <w:rsid w:val="47BC567F"/>
    <w:rsid w:val="48025817"/>
    <w:rsid w:val="48A979B2"/>
    <w:rsid w:val="48B84099"/>
    <w:rsid w:val="493F3E72"/>
    <w:rsid w:val="49423962"/>
    <w:rsid w:val="49793828"/>
    <w:rsid w:val="49A14B2D"/>
    <w:rsid w:val="49C64593"/>
    <w:rsid w:val="4ABF0BD6"/>
    <w:rsid w:val="4BD016F9"/>
    <w:rsid w:val="4BF947AC"/>
    <w:rsid w:val="4C286E40"/>
    <w:rsid w:val="4CA50490"/>
    <w:rsid w:val="4CCE28C0"/>
    <w:rsid w:val="4D293E8A"/>
    <w:rsid w:val="4D3A595B"/>
    <w:rsid w:val="4E02663D"/>
    <w:rsid w:val="4E1753BE"/>
    <w:rsid w:val="4EB66F0E"/>
    <w:rsid w:val="4ED60DD5"/>
    <w:rsid w:val="4EDE7C89"/>
    <w:rsid w:val="4FB70C06"/>
    <w:rsid w:val="50F47C38"/>
    <w:rsid w:val="51273B6A"/>
    <w:rsid w:val="53165C44"/>
    <w:rsid w:val="53D02297"/>
    <w:rsid w:val="540C5299"/>
    <w:rsid w:val="54604B65"/>
    <w:rsid w:val="54AE00FE"/>
    <w:rsid w:val="54E57FC4"/>
    <w:rsid w:val="55992B5C"/>
    <w:rsid w:val="559C3F16"/>
    <w:rsid w:val="55E62245"/>
    <w:rsid w:val="55F3683A"/>
    <w:rsid w:val="5641747C"/>
    <w:rsid w:val="566969D2"/>
    <w:rsid w:val="56E36785"/>
    <w:rsid w:val="576A1D22"/>
    <w:rsid w:val="580A1AEF"/>
    <w:rsid w:val="583A0626"/>
    <w:rsid w:val="583F79EB"/>
    <w:rsid w:val="58F24A5D"/>
    <w:rsid w:val="59A0270B"/>
    <w:rsid w:val="5A3B68D8"/>
    <w:rsid w:val="5A6000EC"/>
    <w:rsid w:val="5B874E3C"/>
    <w:rsid w:val="5BED59B0"/>
    <w:rsid w:val="5CF1327E"/>
    <w:rsid w:val="5D8B623D"/>
    <w:rsid w:val="5DF474C9"/>
    <w:rsid w:val="5E7423B8"/>
    <w:rsid w:val="5E8273CD"/>
    <w:rsid w:val="5E93283E"/>
    <w:rsid w:val="5E993BCD"/>
    <w:rsid w:val="5FF86B47"/>
    <w:rsid w:val="600B4656"/>
    <w:rsid w:val="600F4147"/>
    <w:rsid w:val="6074044E"/>
    <w:rsid w:val="6094289E"/>
    <w:rsid w:val="60C82547"/>
    <w:rsid w:val="60F15F42"/>
    <w:rsid w:val="6122434D"/>
    <w:rsid w:val="61D415F5"/>
    <w:rsid w:val="62835E45"/>
    <w:rsid w:val="63225184"/>
    <w:rsid w:val="632C3261"/>
    <w:rsid w:val="63915694"/>
    <w:rsid w:val="64151F48"/>
    <w:rsid w:val="6461518D"/>
    <w:rsid w:val="652F2B95"/>
    <w:rsid w:val="659D0447"/>
    <w:rsid w:val="670267B3"/>
    <w:rsid w:val="673108AF"/>
    <w:rsid w:val="676905E0"/>
    <w:rsid w:val="67746F85"/>
    <w:rsid w:val="678C0773"/>
    <w:rsid w:val="67BA0E3C"/>
    <w:rsid w:val="68014CBD"/>
    <w:rsid w:val="69157BAE"/>
    <w:rsid w:val="69B31FE7"/>
    <w:rsid w:val="6A3C1FDC"/>
    <w:rsid w:val="6A484E25"/>
    <w:rsid w:val="6AC00E5F"/>
    <w:rsid w:val="6AD24675"/>
    <w:rsid w:val="6B1663FD"/>
    <w:rsid w:val="6B1C3BBC"/>
    <w:rsid w:val="6B364C7D"/>
    <w:rsid w:val="6BAF4A30"/>
    <w:rsid w:val="6C0E5BFA"/>
    <w:rsid w:val="6C7D68DC"/>
    <w:rsid w:val="6C7F4402"/>
    <w:rsid w:val="6C9A123C"/>
    <w:rsid w:val="6CD97FB6"/>
    <w:rsid w:val="6CDA788A"/>
    <w:rsid w:val="6DC522E8"/>
    <w:rsid w:val="6E11552E"/>
    <w:rsid w:val="6E2434B3"/>
    <w:rsid w:val="6E8D72AA"/>
    <w:rsid w:val="6EB26D11"/>
    <w:rsid w:val="6F0D7E9E"/>
    <w:rsid w:val="6F5558EE"/>
    <w:rsid w:val="6F997ED1"/>
    <w:rsid w:val="6FBB47F8"/>
    <w:rsid w:val="70741DA4"/>
    <w:rsid w:val="70A94143"/>
    <w:rsid w:val="70C8281B"/>
    <w:rsid w:val="70C84DFD"/>
    <w:rsid w:val="71092523"/>
    <w:rsid w:val="7121017E"/>
    <w:rsid w:val="712E63F7"/>
    <w:rsid w:val="71555F59"/>
    <w:rsid w:val="71A10A3E"/>
    <w:rsid w:val="725E2D0C"/>
    <w:rsid w:val="72C75056"/>
    <w:rsid w:val="73335F46"/>
    <w:rsid w:val="73634A7D"/>
    <w:rsid w:val="736D76AA"/>
    <w:rsid w:val="742B77FD"/>
    <w:rsid w:val="74F16E49"/>
    <w:rsid w:val="761E6A3A"/>
    <w:rsid w:val="762229CE"/>
    <w:rsid w:val="763E2F56"/>
    <w:rsid w:val="76654669"/>
    <w:rsid w:val="767F3E5C"/>
    <w:rsid w:val="77CD4BBB"/>
    <w:rsid w:val="78762B5D"/>
    <w:rsid w:val="78866B18"/>
    <w:rsid w:val="79566B90"/>
    <w:rsid w:val="796450AB"/>
    <w:rsid w:val="79982FA7"/>
    <w:rsid w:val="79C1605A"/>
    <w:rsid w:val="79DC3BE6"/>
    <w:rsid w:val="7A454EDD"/>
    <w:rsid w:val="7A8150B7"/>
    <w:rsid w:val="7AB20098"/>
    <w:rsid w:val="7AB94F83"/>
    <w:rsid w:val="7B31720F"/>
    <w:rsid w:val="7B58479C"/>
    <w:rsid w:val="7B5D6256"/>
    <w:rsid w:val="7BE14907"/>
    <w:rsid w:val="7C8B5E27"/>
    <w:rsid w:val="7CB73744"/>
    <w:rsid w:val="7D346DAD"/>
    <w:rsid w:val="7D7E2356"/>
    <w:rsid w:val="7DBD640B"/>
    <w:rsid w:val="7E146EA1"/>
    <w:rsid w:val="7EAD3051"/>
    <w:rsid w:val="7EB0669D"/>
    <w:rsid w:val="7EC9775F"/>
    <w:rsid w:val="7F857B2A"/>
    <w:rsid w:val="7FFB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22"/>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黑体" w:hAnsi="黑体" w:eastAsia="黑体"/>
      <w:kern w:val="0"/>
      <w:szCs w:val="20"/>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unhideWhenUsed/>
    <w:qFormat/>
    <w:uiPriority w:val="39"/>
  </w:style>
  <w:style w:type="paragraph" w:styleId="7">
    <w:name w:val="toc 2"/>
    <w:basedOn w:val="1"/>
    <w:next w:val="1"/>
    <w:autoRedefine/>
    <w:unhideWhenUsed/>
    <w:qFormat/>
    <w:uiPriority w:val="39"/>
    <w:pPr>
      <w:ind w:left="420" w:leftChars="200"/>
    </w:pPr>
  </w:style>
  <w:style w:type="table" w:styleId="9">
    <w:name w:val="Table Grid"/>
    <w:basedOn w:val="8"/>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paragraph" w:customStyle="1" w:styleId="14">
    <w:name w:val="标准文件_段"/>
    <w:link w:val="16"/>
    <w:autoRedefine/>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5">
    <w:name w:val="标准文件_正文表标题"/>
    <w:next w:val="14"/>
    <w:qFormat/>
    <w:uiPriority w:val="0"/>
    <w:pPr>
      <w:numPr>
        <w:ilvl w:val="0"/>
        <w:numId w:val="1"/>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character" w:customStyle="1" w:styleId="16">
    <w:name w:val="标准文件_段 Char"/>
    <w:link w:val="14"/>
    <w:qFormat/>
    <w:uiPriority w:val="0"/>
    <w:rPr>
      <w:rFonts w:ascii="宋体" w:hAnsi="Times New Roman" w:eastAsia="宋体" w:cs="Times New Roman"/>
      <w:kern w:val="0"/>
      <w:szCs w:val="20"/>
    </w:rPr>
  </w:style>
  <w:style w:type="paragraph" w:customStyle="1" w:styleId="17">
    <w:name w:val="段"/>
    <w:link w:val="18"/>
    <w:qFormat/>
    <w:uiPriority w:val="0"/>
    <w:pPr>
      <w:ind w:firstLine="200" w:firstLineChars="200"/>
      <w:jc w:val="both"/>
    </w:pPr>
    <w:rPr>
      <w:rFonts w:ascii="宋体" w:hAnsi="Times New Roman" w:eastAsia="宋体" w:cs="Times New Roman"/>
      <w:kern w:val="0"/>
      <w:sz w:val="21"/>
      <w:szCs w:val="20"/>
      <w:lang w:val="en-US" w:eastAsia="zh-CN" w:bidi="ar-SA"/>
    </w:rPr>
  </w:style>
  <w:style w:type="character" w:customStyle="1" w:styleId="18">
    <w:name w:val="段 Char"/>
    <w:link w:val="17"/>
    <w:qFormat/>
    <w:uiPriority w:val="0"/>
    <w:rPr>
      <w:rFonts w:ascii="宋体" w:hAnsi="Times New Roman" w:eastAsia="宋体" w:cs="Times New Roman"/>
      <w:kern w:val="0"/>
      <w:szCs w:val="20"/>
    </w:rPr>
  </w:style>
  <w:style w:type="paragraph" w:customStyle="1" w:styleId="19">
    <w:name w:val="_标准条文"/>
    <w:basedOn w:val="1"/>
    <w:qFormat/>
    <w:uiPriority w:val="0"/>
    <w:pPr>
      <w:overflowPunct w:val="0"/>
      <w:adjustRightInd/>
      <w:snapToGrid w:val="0"/>
      <w:spacing w:beforeLines="25" w:afterLines="25" w:line="276" w:lineRule="auto"/>
      <w:ind w:firstLine="200" w:firstLineChars="200"/>
    </w:pPr>
    <w:rPr>
      <w:rFonts w:ascii="Arial" w:hAnsi="Arial" w:cs="宋体"/>
      <w:szCs w:val="20"/>
    </w:rPr>
  </w:style>
  <w:style w:type="paragraph" w:customStyle="1" w:styleId="20">
    <w:name w:val="标准书眉_奇数页"/>
    <w:next w:val="1"/>
    <w:qFormat/>
    <w:uiPriority w:val="0"/>
    <w:pPr>
      <w:numPr>
        <w:ilvl w:val="4"/>
        <w:numId w:val="2"/>
      </w:num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21">
    <w:name w:val="章标题"/>
    <w:next w:val="17"/>
    <w:qFormat/>
    <w:uiPriority w:val="0"/>
    <w:pPr>
      <w:numPr>
        <w:ilvl w:val="5"/>
        <w:numId w:val="2"/>
      </w:numPr>
      <w:spacing w:beforeLines="100" w:afterLines="100"/>
      <w:jc w:val="both"/>
      <w:outlineLvl w:val="1"/>
    </w:pPr>
    <w:rPr>
      <w:rFonts w:ascii="黑体" w:hAnsi="Times New Roman" w:eastAsia="黑体" w:cs="Times New Roman"/>
      <w:kern w:val="0"/>
      <w:sz w:val="21"/>
      <w:szCs w:val="20"/>
      <w:lang w:val="en-US" w:eastAsia="zh-CN" w:bidi="ar-SA"/>
    </w:rPr>
  </w:style>
  <w:style w:type="character" w:customStyle="1" w:styleId="22">
    <w:name w:val="标题 1 字符"/>
    <w:basedOn w:val="10"/>
    <w:link w:val="3"/>
    <w:qFormat/>
    <w:uiPriority w:val="9"/>
    <w:rPr>
      <w:rFonts w:ascii="Calibri" w:hAnsi="Calibri" w:eastAsia="宋体" w:cs="Times New Roman"/>
      <w:b/>
      <w:bCs/>
      <w:kern w:val="44"/>
      <w:sz w:val="44"/>
      <w:szCs w:val="44"/>
    </w:rPr>
  </w:style>
  <w:style w:type="paragraph" w:customStyle="1" w:styleId="23">
    <w:name w:val="TOC Heading"/>
    <w:basedOn w:val="3"/>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24">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7"/>
    <customShpInfo spid="_x0000_s4100"/>
    <customShpInfo spid="_x0000_s4099"/>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FDB423-BFEB-45DE-8CB7-70B1C0ADD3CB}">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3214</Words>
  <Characters>3420</Characters>
  <Lines>81</Lines>
  <Paragraphs>22</Paragraphs>
  <TotalTime>2</TotalTime>
  <ScaleCrop>false</ScaleCrop>
  <LinksUpToDate>false</LinksUpToDate>
  <CharactersWithSpaces>3488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2024-01-23T17:01:00Z</dcterms:created>
  <dc:creator>WU Qian</dc:creator>
  <cp:lastModifiedBy>zzh</cp:lastModifiedBy>
  <dcterms:modified xsi:type="dcterms:W3CDTF">2026-02-27T08:22:46Z</dcterms:modified>
  <cp:revision>642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eyJoZGlkIjoiY2Q0YjJhODQ3MTk5NzY2ZDJkMDU0ZDFlNDk3MTAyMGEiLCJ1c2VySWQiOiI5NDI3Mzg4MTQifQ==</vt:lpwstr>
  </property>
  <property fmtid="{D5CDD505-2E9C-101B-9397-08002B2CF9AE}" pid="3" name="KSOProductBuildVer">
    <vt:lpwstr>2052-12.8.2.1119</vt:lpwstr>
  </property>
  <property fmtid="{D5CDD505-2E9C-101B-9397-08002B2CF9AE}" pid="4" name="ICV">
    <vt:lpwstr>F86C4D4BAE773D1745E3A069ACAF88F9_43</vt:lpwstr>
  </property>
</Properties>
</file>